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tblInd w:w="-312" w:type="dxa"/>
        <w:tblLayout w:type="fixed"/>
        <w:tblLook w:val="0000" w:firstRow="0" w:lastRow="0" w:firstColumn="0" w:lastColumn="0" w:noHBand="0" w:noVBand="0"/>
      </w:tblPr>
      <w:tblGrid>
        <w:gridCol w:w="3964"/>
        <w:gridCol w:w="5528"/>
      </w:tblGrid>
      <w:tr w:rsidR="007D651C" w:rsidRPr="007D651C" w14:paraId="5D4AE276" w14:textId="77777777" w:rsidTr="006E2A69">
        <w:tc>
          <w:tcPr>
            <w:tcW w:w="3964" w:type="dxa"/>
          </w:tcPr>
          <w:p w14:paraId="2537C41B" w14:textId="77777777" w:rsidR="0049525C" w:rsidRPr="007D651C" w:rsidRDefault="0049525C" w:rsidP="006E2A69">
            <w:pPr>
              <w:jc w:val="center"/>
              <w:rPr>
                <w:rFonts w:ascii="Times New Roman" w:hAnsi="Times New Roman"/>
                <w:sz w:val="26"/>
                <w:lang w:val="nl-NL"/>
              </w:rPr>
            </w:pPr>
            <w:r w:rsidRPr="007D651C">
              <w:rPr>
                <w:rFonts w:ascii="Times New Roman" w:hAnsi="Times New Roman"/>
                <w:sz w:val="26"/>
                <w:lang w:val="nl-NL"/>
              </w:rPr>
              <w:t>UBND TỈNH TUYÊN QUANG</w:t>
            </w:r>
          </w:p>
          <w:p w14:paraId="676AF5D4" w14:textId="77777777" w:rsidR="0049525C" w:rsidRPr="007D651C" w:rsidRDefault="0049525C" w:rsidP="006E2A69">
            <w:pPr>
              <w:jc w:val="center"/>
              <w:rPr>
                <w:rFonts w:ascii="Times New Roman" w:hAnsi="Times New Roman"/>
                <w:b/>
                <w:lang w:val="nl-NL"/>
              </w:rPr>
            </w:pPr>
            <w:r w:rsidRPr="007D651C">
              <w:rPr>
                <w:rFonts w:ascii="Times New Roman" w:hAnsi="Times New Roman"/>
                <w:b/>
                <w:lang w:val="nl-NL"/>
              </w:rPr>
              <w:t>SỞ NỘI VỤ</w:t>
            </w:r>
          </w:p>
          <w:p w14:paraId="0D65C4CC" w14:textId="77777777" w:rsidR="0049525C" w:rsidRPr="007D651C" w:rsidRDefault="0049525C" w:rsidP="006E2A69">
            <w:pPr>
              <w:spacing w:line="120" w:lineRule="auto"/>
              <w:jc w:val="center"/>
              <w:rPr>
                <w:rFonts w:ascii="Times New Roman" w:hAnsi="Times New Roman"/>
                <w:lang w:val="nl-NL"/>
              </w:rPr>
            </w:pPr>
            <w:r w:rsidRPr="007D651C">
              <w:rPr>
                <w:rFonts w:ascii="Times New Roman" w:hAnsi="Times New Roman"/>
                <w:lang w:val="nl-NL"/>
              </w:rPr>
              <w:t>––––</w:t>
            </w:r>
          </w:p>
          <w:p w14:paraId="143B867A" w14:textId="57C1BEFD" w:rsidR="0049525C" w:rsidRPr="007D651C" w:rsidRDefault="0049525C" w:rsidP="00D77124">
            <w:pPr>
              <w:spacing w:before="120"/>
              <w:jc w:val="center"/>
              <w:rPr>
                <w:rFonts w:ascii="Times New Roman" w:hAnsi="Times New Roman"/>
                <w:lang w:val="nl-NL"/>
              </w:rPr>
            </w:pPr>
            <w:r w:rsidRPr="007D651C">
              <w:rPr>
                <w:rFonts w:ascii="Times New Roman" w:hAnsi="Times New Roman"/>
                <w:lang w:val="nl-NL"/>
              </w:rPr>
              <w:t xml:space="preserve">Số: </w:t>
            </w:r>
            <w:r w:rsidR="000B5ADD" w:rsidRPr="007D651C">
              <w:rPr>
                <w:rFonts w:ascii="Times New Roman" w:hAnsi="Times New Roman"/>
                <w:lang w:val="nl-NL"/>
              </w:rPr>
              <w:t xml:space="preserve">        </w:t>
            </w:r>
            <w:r w:rsidRPr="007D651C">
              <w:rPr>
                <w:rFonts w:ascii="Times New Roman" w:hAnsi="Times New Roman"/>
                <w:lang w:val="nl-NL"/>
              </w:rPr>
              <w:t>/</w:t>
            </w:r>
            <w:r w:rsidR="006D1F41" w:rsidRPr="007D651C">
              <w:rPr>
                <w:rFonts w:ascii="Times New Roman" w:hAnsi="Times New Roman"/>
                <w:lang w:val="nl-NL"/>
              </w:rPr>
              <w:t>BC-</w:t>
            </w:r>
            <w:r w:rsidRPr="007D651C">
              <w:rPr>
                <w:rFonts w:ascii="Times New Roman" w:hAnsi="Times New Roman"/>
                <w:lang w:val="nl-NL"/>
              </w:rPr>
              <w:t>SNV</w:t>
            </w:r>
          </w:p>
          <w:p w14:paraId="4AA2AAEB" w14:textId="5AC06455" w:rsidR="00CE0AB5" w:rsidRPr="007D651C" w:rsidRDefault="003C5579" w:rsidP="005E4FC6">
            <w:pPr>
              <w:jc w:val="center"/>
              <w:rPr>
                <w:rFonts w:asciiTheme="majorHAnsi" w:hAnsiTheme="majorHAnsi" w:cstheme="majorHAnsi"/>
                <w:sz w:val="24"/>
                <w:szCs w:val="24"/>
                <w:lang w:val="nl-NL"/>
              </w:rPr>
            </w:pPr>
            <w:r w:rsidRPr="007D651C">
              <w:rPr>
                <w:rFonts w:asciiTheme="majorHAnsi" w:eastAsia="Times New Roman" w:hAnsiTheme="majorHAnsi" w:cstheme="majorHAnsi"/>
                <w:b/>
                <w:noProof/>
              </w:rPr>
              <mc:AlternateContent>
                <mc:Choice Requires="wps">
                  <w:drawing>
                    <wp:anchor distT="0" distB="0" distL="114300" distR="114300" simplePos="0" relativeHeight="251661312" behindDoc="0" locked="0" layoutInCell="1" allowOverlap="1" wp14:anchorId="0CC15B92" wp14:editId="3BD78B71">
                      <wp:simplePos x="0" y="0"/>
                      <wp:positionH relativeFrom="column">
                        <wp:posOffset>697230</wp:posOffset>
                      </wp:positionH>
                      <wp:positionV relativeFrom="paragraph">
                        <wp:posOffset>74295</wp:posOffset>
                      </wp:positionV>
                      <wp:extent cx="952500" cy="302260"/>
                      <wp:effectExtent l="0" t="0" r="19050" b="21590"/>
                      <wp:wrapNone/>
                      <wp:docPr id="16855279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02260"/>
                              </a:xfrm>
                              <a:prstGeom prst="rect">
                                <a:avLst/>
                              </a:prstGeom>
                              <a:solidFill>
                                <a:srgbClr val="FFFFFF"/>
                              </a:solidFill>
                              <a:ln w="9525">
                                <a:solidFill>
                                  <a:srgbClr val="000000"/>
                                </a:solidFill>
                                <a:miter lim="800000"/>
                                <a:headEnd/>
                                <a:tailEnd/>
                              </a:ln>
                            </wps:spPr>
                            <wps:txbx>
                              <w:txbxContent>
                                <w:p w14:paraId="2CBE760E" w14:textId="77777777" w:rsidR="003C5579" w:rsidRPr="003C5579" w:rsidRDefault="003C5579" w:rsidP="00842DF4">
                                  <w:pPr>
                                    <w:spacing w:before="60" w:after="60"/>
                                    <w:jc w:val="center"/>
                                    <w:rPr>
                                      <w:rFonts w:ascii="Times New Roman" w:hAnsi="Times New Roman"/>
                                      <w:b/>
                                      <w:sz w:val="26"/>
                                    </w:rPr>
                                  </w:pPr>
                                  <w:r w:rsidRPr="003C5579">
                                    <w:rPr>
                                      <w:rFonts w:ascii="Times New Roman" w:hAnsi="Times New Roman"/>
                                      <w:b/>
                                      <w:sz w:val="24"/>
                                    </w:rPr>
                                    <w:t>DỰ THẢO</w:t>
                                  </w:r>
                                  <w:r w:rsidRPr="003C5579">
                                    <w:rPr>
                                      <w:rFonts w:ascii="Times New Roman" w:hAnsi="Times New Roman"/>
                                      <w:b/>
                                      <w:sz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15B92" id="Rectangle 3" o:spid="_x0000_s1026" style="position:absolute;left:0;text-align:left;margin-left:54.9pt;margin-top:5.85pt;width: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">
                      <v:textbox>
                        <w:txbxContent>
                          <w:p w14:paraId="2CBE760E" w14:textId="77777777" w:rsidR="003C5579" w:rsidRPr="003C5579" w:rsidRDefault="003C5579" w:rsidP="00842DF4">
                            <w:pPr>
                              <w:spacing w:before="60" w:after="60"/>
                              <w:jc w:val="center"/>
                              <w:rPr>
                                <w:rFonts w:ascii="Times New Roman" w:hAnsi="Times New Roman"/>
                                <w:b/>
                                <w:sz w:val="26"/>
                              </w:rPr>
                            </w:pPr>
                            <w:r w:rsidRPr="003C5579">
                              <w:rPr>
                                <w:rFonts w:ascii="Times New Roman" w:hAnsi="Times New Roman"/>
                                <w:b/>
                                <w:sz w:val="24"/>
                              </w:rPr>
                              <w:t>DỰ THẢO</w:t>
                            </w:r>
                            <w:r w:rsidRPr="003C5579">
                              <w:rPr>
                                <w:rFonts w:ascii="Times New Roman" w:hAnsi="Times New Roman"/>
                                <w:b/>
                                <w:sz w:val="26"/>
                              </w:rPr>
                              <w:t xml:space="preserve"> </w:t>
                            </w:r>
                          </w:p>
                        </w:txbxContent>
                      </v:textbox>
                    </v:rect>
                  </w:pict>
                </mc:Fallback>
              </mc:AlternateContent>
            </w:r>
          </w:p>
        </w:tc>
        <w:tc>
          <w:tcPr>
            <w:tcW w:w="5528" w:type="dxa"/>
          </w:tcPr>
          <w:p w14:paraId="5D83E6D7" w14:textId="77777777" w:rsidR="0049525C" w:rsidRPr="007D651C" w:rsidRDefault="0049525C" w:rsidP="006E2A69">
            <w:pPr>
              <w:jc w:val="center"/>
              <w:rPr>
                <w:rFonts w:ascii="Times New Roman" w:hAnsi="Times New Roman"/>
                <w:b/>
                <w:bCs/>
                <w:spacing w:val="-6"/>
                <w:sz w:val="26"/>
                <w:lang w:val="nl-NL"/>
              </w:rPr>
            </w:pPr>
            <w:r w:rsidRPr="007D651C">
              <w:rPr>
                <w:rFonts w:ascii="Times New Roman" w:hAnsi="Times New Roman"/>
                <w:b/>
                <w:bCs/>
                <w:spacing w:val="-6"/>
                <w:sz w:val="26"/>
                <w:lang w:val="nl-NL"/>
              </w:rPr>
              <w:t>CỘNG HÒA XÃ HỘI CHỦ NGHĨA VIỆT NAM</w:t>
            </w:r>
          </w:p>
          <w:p w14:paraId="283BAE68" w14:textId="77777777" w:rsidR="0049525C" w:rsidRPr="007D651C" w:rsidRDefault="0049525C" w:rsidP="006E2A69">
            <w:pPr>
              <w:jc w:val="center"/>
              <w:rPr>
                <w:rFonts w:ascii="Times New Roman" w:hAnsi="Times New Roman"/>
                <w:b/>
                <w:bCs/>
                <w:lang w:val="nl-NL"/>
              </w:rPr>
            </w:pPr>
            <w:r w:rsidRPr="007D651C">
              <w:rPr>
                <w:rFonts w:ascii="Times New Roman" w:hAnsi="Times New Roman"/>
                <w:b/>
                <w:bCs/>
                <w:lang w:val="nl-NL"/>
              </w:rPr>
              <w:t xml:space="preserve">Độc lập </w:t>
            </w:r>
            <w:r w:rsidR="00252CA9" w:rsidRPr="007D651C">
              <w:rPr>
                <w:rFonts w:ascii="Times New Roman" w:hAnsi="Times New Roman"/>
                <w:b/>
                <w:bCs/>
                <w:lang w:val="nl-NL"/>
              </w:rPr>
              <w:t>-</w:t>
            </w:r>
            <w:r w:rsidRPr="007D651C">
              <w:rPr>
                <w:rFonts w:ascii="Times New Roman" w:hAnsi="Times New Roman"/>
                <w:b/>
                <w:bCs/>
                <w:lang w:val="nl-NL"/>
              </w:rPr>
              <w:t xml:space="preserve"> Tự do </w:t>
            </w:r>
            <w:r w:rsidR="00252CA9" w:rsidRPr="007D651C">
              <w:rPr>
                <w:rFonts w:ascii="Times New Roman" w:hAnsi="Times New Roman"/>
                <w:b/>
                <w:bCs/>
                <w:lang w:val="nl-NL"/>
              </w:rPr>
              <w:t>-</w:t>
            </w:r>
            <w:r w:rsidRPr="007D651C">
              <w:rPr>
                <w:rFonts w:ascii="Times New Roman" w:hAnsi="Times New Roman"/>
                <w:b/>
                <w:bCs/>
                <w:lang w:val="nl-NL"/>
              </w:rPr>
              <w:t xml:space="preserve"> Hạnh phúc</w:t>
            </w:r>
          </w:p>
          <w:p w14:paraId="149E9FA1" w14:textId="77777777" w:rsidR="0049525C" w:rsidRPr="007D651C" w:rsidRDefault="0049525C" w:rsidP="006E2A69">
            <w:pPr>
              <w:spacing w:line="120" w:lineRule="auto"/>
              <w:jc w:val="center"/>
              <w:rPr>
                <w:rFonts w:ascii="Times New Roman" w:hAnsi="Times New Roman"/>
                <w:lang w:val="nl-NL"/>
              </w:rPr>
            </w:pPr>
            <w:r w:rsidRPr="007D651C">
              <w:rPr>
                <w:rFonts w:ascii="Times New Roman" w:hAnsi="Times New Roman"/>
                <w:lang w:val="nl-NL"/>
              </w:rPr>
              <w:t>––––––––––––––––––––––––</w:t>
            </w:r>
          </w:p>
          <w:p w14:paraId="245EA0C8" w14:textId="62603DDD" w:rsidR="0049525C" w:rsidRPr="007D651C" w:rsidRDefault="0049525C" w:rsidP="00C759B7">
            <w:pPr>
              <w:spacing w:before="120"/>
              <w:jc w:val="center"/>
              <w:rPr>
                <w:rFonts w:ascii="Times New Roman" w:hAnsi="Times New Roman"/>
                <w:i/>
                <w:lang w:val="vi-VN"/>
              </w:rPr>
            </w:pPr>
            <w:r w:rsidRPr="007D651C">
              <w:rPr>
                <w:rFonts w:ascii="Times New Roman" w:hAnsi="Times New Roman"/>
                <w:i/>
                <w:lang w:val="nl-NL"/>
              </w:rPr>
              <w:t xml:space="preserve">Tuyên Quang, ngày </w:t>
            </w:r>
            <w:r w:rsidR="000B5ADD" w:rsidRPr="007D651C">
              <w:rPr>
                <w:rFonts w:ascii="Times New Roman" w:hAnsi="Times New Roman"/>
                <w:i/>
                <w:lang w:val="nl-NL"/>
              </w:rPr>
              <w:t xml:space="preserve">    </w:t>
            </w:r>
            <w:r w:rsidR="00A91741" w:rsidRPr="007D651C">
              <w:rPr>
                <w:rFonts w:ascii="Times New Roman" w:hAnsi="Times New Roman"/>
                <w:i/>
                <w:lang w:val="nl-NL"/>
              </w:rPr>
              <w:t xml:space="preserve"> </w:t>
            </w:r>
            <w:r w:rsidR="00252CA9" w:rsidRPr="007D651C">
              <w:rPr>
                <w:rFonts w:ascii="Times New Roman" w:hAnsi="Times New Roman"/>
                <w:i/>
                <w:lang w:val="nl-NL"/>
              </w:rPr>
              <w:t xml:space="preserve"> </w:t>
            </w:r>
            <w:r w:rsidRPr="007D651C">
              <w:rPr>
                <w:rFonts w:ascii="Times New Roman" w:hAnsi="Times New Roman"/>
                <w:i/>
                <w:lang w:val="nl-NL"/>
              </w:rPr>
              <w:t xml:space="preserve">tháng </w:t>
            </w:r>
            <w:r w:rsidR="00C759B7" w:rsidRPr="007D651C">
              <w:rPr>
                <w:rFonts w:ascii="Times New Roman" w:hAnsi="Times New Roman"/>
                <w:i/>
                <w:lang w:val="nl-NL"/>
              </w:rPr>
              <w:t>1</w:t>
            </w:r>
            <w:r w:rsidR="003744F6" w:rsidRPr="007D651C">
              <w:rPr>
                <w:rFonts w:ascii="Times New Roman" w:hAnsi="Times New Roman"/>
                <w:i/>
                <w:lang w:val="nl-NL"/>
              </w:rPr>
              <w:t>1</w:t>
            </w:r>
            <w:r w:rsidR="00A91741" w:rsidRPr="007D651C">
              <w:rPr>
                <w:rFonts w:ascii="Times New Roman" w:hAnsi="Times New Roman"/>
                <w:i/>
                <w:lang w:val="nl-NL"/>
              </w:rPr>
              <w:t xml:space="preserve"> </w:t>
            </w:r>
            <w:r w:rsidRPr="007D651C">
              <w:rPr>
                <w:rFonts w:ascii="Times New Roman" w:hAnsi="Times New Roman"/>
                <w:i/>
                <w:lang w:val="nl-NL"/>
              </w:rPr>
              <w:t>năm 2025</w:t>
            </w:r>
          </w:p>
        </w:tc>
      </w:tr>
    </w:tbl>
    <w:p w14:paraId="5553172E" w14:textId="77777777" w:rsidR="003744F6" w:rsidRPr="007D651C" w:rsidRDefault="003744F6" w:rsidP="003744F6">
      <w:pPr>
        <w:pBdr>
          <w:top w:val="none" w:sz="4" w:space="0" w:color="000000"/>
          <w:left w:val="none" w:sz="4" w:space="0" w:color="000000"/>
          <w:bottom w:val="none" w:sz="4" w:space="0" w:color="000000"/>
          <w:right w:val="none" w:sz="4" w:space="0" w:color="000000"/>
          <w:between w:val="none" w:sz="4" w:space="0" w:color="000000"/>
        </w:pBdr>
        <w:tabs>
          <w:tab w:val="left" w:pos="1080"/>
          <w:tab w:val="center" w:pos="4536"/>
        </w:tabs>
        <w:contextualSpacing/>
        <w:jc w:val="center"/>
        <w:rPr>
          <w:rFonts w:asciiTheme="majorHAnsi" w:eastAsia="Times New Roman" w:hAnsiTheme="majorHAnsi" w:cstheme="majorHAnsi"/>
          <w:b/>
          <w:lang w:val="af-ZA"/>
        </w:rPr>
      </w:pPr>
    </w:p>
    <w:p w14:paraId="09B3616B" w14:textId="23BE4468" w:rsidR="003744F6" w:rsidRPr="007D651C" w:rsidRDefault="003744F6" w:rsidP="003744F6">
      <w:pPr>
        <w:pBdr>
          <w:top w:val="none" w:sz="4" w:space="0" w:color="000000"/>
          <w:left w:val="none" w:sz="4" w:space="0" w:color="000000"/>
          <w:bottom w:val="none" w:sz="4" w:space="0" w:color="000000"/>
          <w:right w:val="none" w:sz="4" w:space="0" w:color="000000"/>
          <w:between w:val="none" w:sz="4" w:space="0" w:color="000000"/>
        </w:pBdr>
        <w:tabs>
          <w:tab w:val="left" w:pos="1080"/>
          <w:tab w:val="center" w:pos="4536"/>
        </w:tabs>
        <w:contextualSpacing/>
        <w:jc w:val="center"/>
        <w:rPr>
          <w:rFonts w:ascii="Times New Roman" w:eastAsia="Times New Roman" w:hAnsi="Times New Roman"/>
          <w:b/>
        </w:rPr>
      </w:pPr>
      <w:r w:rsidRPr="007D651C">
        <w:rPr>
          <w:rFonts w:ascii="Times New Roman" w:eastAsia="Times New Roman" w:hAnsi="Times New Roman"/>
          <w:b/>
        </w:rPr>
        <w:t>BÁO CÁO</w:t>
      </w:r>
    </w:p>
    <w:p w14:paraId="41AD0004" w14:textId="77777777" w:rsidR="003744F6" w:rsidRPr="007D651C" w:rsidRDefault="003744F6" w:rsidP="003744F6">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lang w:val="vi-VN" w:eastAsia="vi-VN"/>
        </w:rPr>
      </w:pPr>
      <w:bookmarkStart w:id="0" w:name="_Hlk213423406"/>
      <w:r w:rsidRPr="007D651C">
        <w:rPr>
          <w:rFonts w:ascii="Times New Roman" w:eastAsia="Times New Roman" w:hAnsi="Times New Roman"/>
          <w:b/>
          <w:spacing w:val="-4"/>
        </w:rPr>
        <w:t xml:space="preserve">Tổng kết việc thi hành </w:t>
      </w:r>
      <w:r w:rsidRPr="007D651C">
        <w:rPr>
          <w:rFonts w:ascii="Times New Roman" w:eastAsia="Times New Roman" w:hAnsi="Times New Roman"/>
          <w:b/>
          <w:lang w:val="vi-VN" w:eastAsia="vi-VN"/>
        </w:rPr>
        <w:t xml:space="preserve">Nghị quyết số 12/2021/NQ-HĐND ngày 20/12/2021 </w:t>
      </w:r>
      <w:r w:rsidRPr="007D651C">
        <w:rPr>
          <w:rFonts w:ascii="Times New Roman" w:eastAsia="Times New Roman" w:hAnsi="Times New Roman"/>
          <w:b/>
          <w:i/>
          <w:iCs/>
          <w:lang w:eastAsia="vi-VN"/>
        </w:rPr>
        <w:t>(được sửa đổi, bổ sung tại Nghị quyết số 03/2023/NQ-HĐND ngày 06/7/2023)</w:t>
      </w:r>
      <w:r w:rsidRPr="007D651C">
        <w:rPr>
          <w:rFonts w:ascii="Times New Roman" w:eastAsia="Times New Roman" w:hAnsi="Times New Roman"/>
          <w:b/>
          <w:lang w:eastAsia="vi-VN"/>
        </w:rPr>
        <w:t xml:space="preserve"> </w:t>
      </w:r>
      <w:r w:rsidRPr="007D651C">
        <w:rPr>
          <w:rFonts w:ascii="Times New Roman" w:eastAsia="Times New Roman" w:hAnsi="Times New Roman"/>
          <w:b/>
          <w:lang w:val="vi-VN" w:eastAsia="vi-VN"/>
        </w:rPr>
        <w:t>của Hội đồng nhân dân tỉnh</w:t>
      </w:r>
      <w:r w:rsidRPr="007D651C">
        <w:rPr>
          <w:rFonts w:ascii="Times New Roman" w:eastAsia="Times New Roman" w:hAnsi="Times New Roman"/>
          <w:b/>
          <w:lang w:eastAsia="vi-VN"/>
        </w:rPr>
        <w:t xml:space="preserve"> </w:t>
      </w:r>
      <w:r w:rsidRPr="007D651C">
        <w:rPr>
          <w:rFonts w:ascii="Times New Roman" w:eastAsia="Times New Roman" w:hAnsi="Times New Roman"/>
          <w:b/>
          <w:lang w:val="vi-VN" w:eastAsia="vi-VN"/>
        </w:rPr>
        <w:t>Quy định chính sách thu hút nguồn nhân lực, hỗ trợ đào tạo sau đại học, nâng cao trình độ ngoại ngữ</w:t>
      </w:r>
      <w:bookmarkEnd w:id="0"/>
      <w:r w:rsidRPr="007D651C">
        <w:rPr>
          <w:rFonts w:ascii="Times New Roman" w:eastAsia="Times New Roman" w:hAnsi="Times New Roman"/>
          <w:b/>
          <w:lang w:val="vi-VN" w:eastAsia="vi-VN"/>
        </w:rPr>
        <w:t xml:space="preserve"> </w:t>
      </w:r>
    </w:p>
    <w:p w14:paraId="24E6717F" w14:textId="4DE33EA2" w:rsidR="003744F6" w:rsidRPr="007D651C" w:rsidRDefault="003744F6" w:rsidP="003744F6">
      <w:pPr>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eastAsia="Times New Roman" w:hAnsi="Times New Roman"/>
        </w:rPr>
      </w:pPr>
      <w:r w:rsidRPr="007D651C">
        <w:rPr>
          <w:rFonts w:ascii="Times New Roman" w:eastAsia="Times New Roman" w:hAnsi="Times New Roman"/>
          <w:noProof/>
          <w:lang w:val="vi-VN" w:eastAsia="vi-VN"/>
        </w:rPr>
        <mc:AlternateContent>
          <mc:Choice Requires="wps">
            <w:drawing>
              <wp:anchor distT="4294967295" distB="4294967295" distL="114300" distR="114300" simplePos="0" relativeHeight="251663360" behindDoc="0" locked="0" layoutInCell="1" allowOverlap="1" wp14:anchorId="2C0CFF85" wp14:editId="36FBB4EC">
                <wp:simplePos x="0" y="0"/>
                <wp:positionH relativeFrom="column">
                  <wp:posOffset>2234565</wp:posOffset>
                </wp:positionH>
                <wp:positionV relativeFrom="paragraph">
                  <wp:posOffset>43180</wp:posOffset>
                </wp:positionV>
                <wp:extent cx="1257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line w14:anchorId="1F652587"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5.95pt,3.4pt" to="274.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">
                <o:lock v:ext="edit" shapetype="f"/>
              </v:line>
            </w:pict>
          </mc:Fallback>
        </mc:AlternateContent>
      </w:r>
    </w:p>
    <w:p w14:paraId="379CD906" w14:textId="2C61CB79" w:rsidR="003744F6" w:rsidRDefault="00963276" w:rsidP="003744F6">
      <w:pPr>
        <w:pBdr>
          <w:top w:val="none" w:sz="4" w:space="0" w:color="000000"/>
          <w:left w:val="none" w:sz="4" w:space="0" w:color="000000"/>
          <w:bottom w:val="none" w:sz="4" w:space="0" w:color="000000"/>
          <w:right w:val="none" w:sz="4" w:space="0" w:color="000000"/>
          <w:between w:val="none" w:sz="4" w:space="0" w:color="000000"/>
        </w:pBdr>
        <w:ind w:firstLine="720"/>
        <w:jc w:val="center"/>
        <w:rPr>
          <w:rFonts w:ascii="Times New Roman" w:eastAsia="Times New Roman" w:hAnsi="Times New Roman"/>
        </w:rPr>
      </w:pPr>
      <w:r>
        <w:rPr>
          <w:rFonts w:ascii="Times New Roman" w:eastAsia="Times New Roman" w:hAnsi="Times New Roman"/>
        </w:rPr>
        <w:t>Kính gửi: Uỷ ban nhân dân tỉnh Tuyên Quang.</w:t>
      </w:r>
    </w:p>
    <w:p w14:paraId="3EC7994E" w14:textId="77777777" w:rsidR="00963276" w:rsidRPr="007D651C" w:rsidRDefault="00963276" w:rsidP="003744F6">
      <w:pPr>
        <w:pBdr>
          <w:top w:val="none" w:sz="4" w:space="0" w:color="000000"/>
          <w:left w:val="none" w:sz="4" w:space="0" w:color="000000"/>
          <w:bottom w:val="none" w:sz="4" w:space="0" w:color="000000"/>
          <w:right w:val="none" w:sz="4" w:space="0" w:color="000000"/>
          <w:between w:val="none" w:sz="4" w:space="0" w:color="000000"/>
        </w:pBdr>
        <w:ind w:firstLine="720"/>
        <w:jc w:val="center"/>
        <w:rPr>
          <w:rFonts w:ascii="Times New Roman" w:eastAsia="Times New Roman" w:hAnsi="Times New Roman"/>
        </w:rPr>
      </w:pPr>
    </w:p>
    <w:p w14:paraId="09A82768" w14:textId="5C6AA621" w:rsidR="00155C92" w:rsidRPr="00155C92" w:rsidRDefault="003744F6" w:rsidP="00155C92">
      <w:pPr>
        <w:tabs>
          <w:tab w:val="left" w:pos="720"/>
        </w:tabs>
        <w:spacing w:before="20" w:after="20"/>
        <w:ind w:firstLine="720"/>
        <w:jc w:val="both"/>
        <w:rPr>
          <w:rFonts w:ascii="Times New Roman" w:hAnsi="Times New Roman"/>
          <w:lang w:val="nl-NL"/>
        </w:rPr>
      </w:pPr>
      <w:r w:rsidRPr="00155C92">
        <w:rPr>
          <w:rFonts w:ascii="Times New Roman" w:eastAsia="Times New Roman" w:hAnsi="Times New Roman"/>
          <w:iCs/>
        </w:rPr>
        <w:t xml:space="preserve">Thực hiện </w:t>
      </w:r>
      <w:r w:rsidR="00155C92" w:rsidRPr="00155C92">
        <w:rPr>
          <w:rFonts w:ascii="Times New Roman" w:hAnsi="Times New Roman"/>
          <w:lang w:val="nl-NL"/>
        </w:rPr>
        <w:t>Văn bản số 254/HĐND-VP ngày 09/10/2025 của Hội đồng nhân dân tỉnh về việc cho ý kiến đối với Danh mục nghị quyết của Hội đồng nhân dân tỉnh quy định chi tiết luật, nghị quyết</w:t>
      </w:r>
      <w:r w:rsidR="00155C92" w:rsidRPr="00155C92">
        <w:rPr>
          <w:rFonts w:ascii="Times New Roman" w:hAnsi="Times New Roman"/>
        </w:rPr>
        <w:t>;</w:t>
      </w:r>
      <w:r w:rsidR="00155C92">
        <w:rPr>
          <w:rFonts w:ascii="Times New Roman" w:hAnsi="Times New Roman"/>
        </w:rPr>
        <w:t xml:space="preserve"> </w:t>
      </w:r>
      <w:r w:rsidR="00155C92" w:rsidRPr="00155C92">
        <w:rPr>
          <w:rFonts w:ascii="Times New Roman" w:hAnsi="Times New Roman"/>
          <w:iCs/>
          <w:lang w:val="vi-VN"/>
        </w:rPr>
        <w:t xml:space="preserve">Văn bản số </w:t>
      </w:r>
      <w:r w:rsidR="00155C92" w:rsidRPr="00155C92">
        <w:rPr>
          <w:rFonts w:ascii="Times New Roman" w:hAnsi="Times New Roman"/>
          <w:iCs/>
        </w:rPr>
        <w:t>2577</w:t>
      </w:r>
      <w:r w:rsidR="00155C92" w:rsidRPr="00155C92">
        <w:rPr>
          <w:rFonts w:ascii="Times New Roman" w:hAnsi="Times New Roman"/>
          <w:iCs/>
          <w:lang w:val="vi-VN"/>
        </w:rPr>
        <w:t>/UBND-NC</w:t>
      </w:r>
      <w:r w:rsidR="00155C92">
        <w:rPr>
          <w:rFonts w:ascii="Times New Roman" w:hAnsi="Times New Roman"/>
          <w:iCs/>
        </w:rPr>
        <w:t xml:space="preserve"> </w:t>
      </w:r>
      <w:r w:rsidR="00155C92" w:rsidRPr="00155C92">
        <w:rPr>
          <w:rFonts w:ascii="Times New Roman" w:hAnsi="Times New Roman"/>
          <w:iCs/>
          <w:lang w:val="vi-VN"/>
        </w:rPr>
        <w:t xml:space="preserve">ngày </w:t>
      </w:r>
      <w:r w:rsidR="00155C92" w:rsidRPr="00155C92">
        <w:rPr>
          <w:rFonts w:ascii="Times New Roman" w:hAnsi="Times New Roman"/>
          <w:iCs/>
        </w:rPr>
        <w:t>09/10/2025</w:t>
      </w:r>
      <w:r w:rsidR="00155C92" w:rsidRPr="00155C92">
        <w:rPr>
          <w:rFonts w:ascii="Times New Roman" w:hAnsi="Times New Roman"/>
          <w:iCs/>
          <w:lang w:val="vi-VN"/>
        </w:rPr>
        <w:t xml:space="preserve"> của Ủy ban nhân dân tỉnh về việc </w:t>
      </w:r>
      <w:r w:rsidR="00155C92" w:rsidRPr="00155C92">
        <w:rPr>
          <w:rFonts w:ascii="Times New Roman" w:hAnsi="Times New Roman"/>
          <w:iCs/>
        </w:rPr>
        <w:t>xây dựng Nghị quyết quy phạp pháp luật của Hội đồng nhân dân tỉnh quy định chi tiết luật, nghị quyết được Quốc hội khoá XV thông qua tại Kỳ họp thứ 9.</w:t>
      </w:r>
    </w:p>
    <w:p w14:paraId="54698F33" w14:textId="47233F92" w:rsidR="003744F6" w:rsidRPr="00155C92"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i/>
          <w:iCs/>
          <w:spacing w:val="4"/>
        </w:rPr>
      </w:pPr>
      <w:r w:rsidRPr="00155C92">
        <w:rPr>
          <w:rFonts w:ascii="Times New Roman" w:eastAsia="Times New Roman" w:hAnsi="Times New Roman"/>
          <w:spacing w:val="4"/>
        </w:rPr>
        <w:t xml:space="preserve">Ngày 25/9/2025, Sở Nội vụ đã ban hành Văn bản số 1936/SNV-CCVC đề nghị các cơ quan, </w:t>
      </w:r>
      <w:r w:rsidR="00155C92" w:rsidRPr="00155C92">
        <w:rPr>
          <w:rFonts w:ascii="Times New Roman" w:eastAsia="Times New Roman" w:hAnsi="Times New Roman"/>
          <w:spacing w:val="4"/>
        </w:rPr>
        <w:t xml:space="preserve">tổ chức, </w:t>
      </w:r>
      <w:r w:rsidRPr="00155C92">
        <w:rPr>
          <w:rFonts w:ascii="Times New Roman" w:eastAsia="Times New Roman" w:hAnsi="Times New Roman"/>
          <w:spacing w:val="4"/>
        </w:rPr>
        <w:t>đơn vị, Uỷ ban nhân dân xã, phương đánh giá kết quả thực hiện Nghị quyết số 12/2021/NQ-HĐND</w:t>
      </w:r>
      <w:r w:rsidRPr="00155C92">
        <w:rPr>
          <w:rFonts w:ascii="Times New Roman" w:eastAsia="Times New Roman" w:hAnsi="Times New Roman"/>
          <w:i/>
          <w:iCs/>
          <w:spacing w:val="4"/>
        </w:rPr>
        <w:t xml:space="preserve"> </w:t>
      </w:r>
      <w:r w:rsidRPr="00155C92">
        <w:rPr>
          <w:rFonts w:ascii="Times New Roman" w:eastAsia="Times New Roman" w:hAnsi="Times New Roman"/>
          <w:spacing w:val="4"/>
        </w:rPr>
        <w:t>ngày 20/12/2021 của Hội đồng nhân dân tỉnh Tuyên Quang (cũ) ban hành Q</w:t>
      </w:r>
      <w:r w:rsidRPr="00155C92">
        <w:rPr>
          <w:rFonts w:ascii="Times New Roman" w:eastAsia="Times New Roman" w:hAnsi="Times New Roman"/>
          <w:spacing w:val="4"/>
          <w:lang w:val="vi-VN"/>
        </w:rPr>
        <w:t xml:space="preserve">uy định chính sách </w:t>
      </w:r>
      <w:r w:rsidRPr="00155C92">
        <w:rPr>
          <w:rFonts w:ascii="Times New Roman" w:eastAsia="Times New Roman" w:hAnsi="Times New Roman"/>
          <w:spacing w:val="4"/>
        </w:rPr>
        <w:t xml:space="preserve">thu hút nguồn nhân lực; </w:t>
      </w:r>
      <w:r w:rsidRPr="00155C92">
        <w:rPr>
          <w:rFonts w:ascii="Times New Roman" w:eastAsia="Times New Roman" w:hAnsi="Times New Roman"/>
          <w:spacing w:val="4"/>
          <w:lang w:val="vi-VN"/>
        </w:rPr>
        <w:t>hỗ trợ đào tạo sau đại học, nâng cao trình độ ngoại ngữ</w:t>
      </w:r>
      <w:r w:rsidRPr="00155C92">
        <w:rPr>
          <w:rFonts w:ascii="Times New Roman" w:eastAsia="Times New Roman" w:hAnsi="Times New Roman"/>
          <w:spacing w:val="4"/>
        </w:rPr>
        <w:t xml:space="preserve"> </w:t>
      </w:r>
      <w:r w:rsidRPr="00155C92">
        <w:rPr>
          <w:rFonts w:ascii="Times New Roman" w:eastAsia="Times New Roman" w:hAnsi="Times New Roman"/>
          <w:i/>
          <w:iCs/>
          <w:spacing w:val="4"/>
        </w:rPr>
        <w:t xml:space="preserve">(sau đây gọi tắt là </w:t>
      </w:r>
      <w:r w:rsidRPr="00155C92">
        <w:rPr>
          <w:rFonts w:ascii="Times New Roman" w:eastAsia="Times New Roman" w:hAnsi="Times New Roman"/>
          <w:i/>
          <w:iCs/>
          <w:spacing w:val="4"/>
          <w:lang w:val="vi-VN"/>
        </w:rPr>
        <w:t>Nghị quyết số 12/2021/NQ-HĐND</w:t>
      </w:r>
      <w:r w:rsidRPr="00155C92">
        <w:rPr>
          <w:rFonts w:ascii="Times New Roman" w:eastAsia="Times New Roman" w:hAnsi="Times New Roman"/>
          <w:i/>
          <w:iCs/>
          <w:spacing w:val="4"/>
        </w:rPr>
        <w:t xml:space="preserve"> ngày 20/12/2021);</w:t>
      </w:r>
      <w:r w:rsidRPr="00155C92">
        <w:rPr>
          <w:rFonts w:ascii="Times New Roman" w:eastAsia="Times New Roman" w:hAnsi="Times New Roman"/>
          <w:spacing w:val="4"/>
        </w:rPr>
        <w:t xml:space="preserve"> </w:t>
      </w:r>
      <w:r w:rsidRPr="00155C92">
        <w:rPr>
          <w:rFonts w:ascii="Times New Roman" w:eastAsia="Times New Roman" w:hAnsi="Times New Roman"/>
          <w:spacing w:val="4"/>
          <w:lang w:val="vi-VN"/>
        </w:rPr>
        <w:t>Nghị quyết số 03/2023/NQ-HĐND</w:t>
      </w:r>
      <w:r w:rsidRPr="00155C92">
        <w:rPr>
          <w:rFonts w:ascii="Times New Roman" w:eastAsia="Times New Roman" w:hAnsi="Times New Roman"/>
          <w:spacing w:val="4"/>
        </w:rPr>
        <w:t xml:space="preserve"> ngày 06/7/2023 của Hội đồng nhân dân tỉnh Tuyên Quang (cũ) sửa đổi, bổ sung</w:t>
      </w:r>
      <w:r w:rsidRPr="00155C92">
        <w:rPr>
          <w:rFonts w:ascii="Times New Roman" w:eastAsia="Times New Roman" w:hAnsi="Times New Roman"/>
          <w:spacing w:val="4"/>
          <w:lang w:val="vi-VN"/>
        </w:rPr>
        <w:t xml:space="preserve"> Nghị quyết số 12/2021/NQ-HĐND </w:t>
      </w:r>
      <w:r w:rsidRPr="00155C92">
        <w:rPr>
          <w:rFonts w:ascii="Times New Roman" w:eastAsia="Times New Roman" w:hAnsi="Times New Roman"/>
          <w:spacing w:val="4"/>
        </w:rPr>
        <w:t>ngày 20/12/2021 của Hội đồng nhân dân tỉnh ban hành Q</w:t>
      </w:r>
      <w:r w:rsidRPr="00155C92">
        <w:rPr>
          <w:rFonts w:ascii="Times New Roman" w:eastAsia="Times New Roman" w:hAnsi="Times New Roman"/>
          <w:spacing w:val="4"/>
          <w:lang w:val="vi-VN"/>
        </w:rPr>
        <w:t xml:space="preserve">uy định chính sách </w:t>
      </w:r>
      <w:r w:rsidRPr="00155C92">
        <w:rPr>
          <w:rFonts w:ascii="Times New Roman" w:eastAsia="Times New Roman" w:hAnsi="Times New Roman"/>
          <w:spacing w:val="4"/>
        </w:rPr>
        <w:t xml:space="preserve">thu hút nguồn nhân lực; </w:t>
      </w:r>
      <w:r w:rsidRPr="00155C92">
        <w:rPr>
          <w:rFonts w:ascii="Times New Roman" w:eastAsia="Times New Roman" w:hAnsi="Times New Roman"/>
          <w:spacing w:val="4"/>
          <w:lang w:val="vi-VN"/>
        </w:rPr>
        <w:t>hỗ trợ đào tạo sau đại học, nâng cao trình độ ngoại ngữ</w:t>
      </w:r>
      <w:r w:rsidRPr="00155C92">
        <w:rPr>
          <w:rFonts w:ascii="Times New Roman" w:eastAsia="Times New Roman" w:hAnsi="Times New Roman"/>
          <w:spacing w:val="4"/>
        </w:rPr>
        <w:t xml:space="preserve"> </w:t>
      </w:r>
      <w:r w:rsidRPr="00155C92">
        <w:rPr>
          <w:rFonts w:ascii="Times New Roman" w:eastAsia="Times New Roman" w:hAnsi="Times New Roman"/>
          <w:i/>
          <w:iCs/>
          <w:spacing w:val="4"/>
        </w:rPr>
        <w:t xml:space="preserve">(sau đây gọi tắt là </w:t>
      </w:r>
      <w:r w:rsidRPr="00155C92">
        <w:rPr>
          <w:rFonts w:ascii="Times New Roman" w:eastAsia="Times New Roman" w:hAnsi="Times New Roman"/>
          <w:i/>
          <w:iCs/>
          <w:spacing w:val="4"/>
          <w:lang w:val="vi-VN"/>
        </w:rPr>
        <w:t>Nghị quyết số 03/2023/NQ-HĐND</w:t>
      </w:r>
      <w:r w:rsidRPr="00155C92">
        <w:rPr>
          <w:rFonts w:ascii="Times New Roman" w:eastAsia="Times New Roman" w:hAnsi="Times New Roman"/>
          <w:i/>
          <w:iCs/>
          <w:spacing w:val="4"/>
        </w:rPr>
        <w:t xml:space="preserve"> ngày 06/7/2023) </w:t>
      </w:r>
      <w:r w:rsidRPr="00155C92">
        <w:rPr>
          <w:rFonts w:ascii="Times New Roman" w:eastAsia="Times New Roman" w:hAnsi="Times New Roman"/>
          <w:spacing w:val="4"/>
        </w:rPr>
        <w:t>và đề xuất ngành nghề, nhu cầu thu hút nguồn nhân lực, đào tạo sau đại học.</w:t>
      </w:r>
    </w:p>
    <w:p w14:paraId="70A76B12" w14:textId="66320323" w:rsidR="003744F6" w:rsidRPr="009D42E6"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9D42E6">
        <w:rPr>
          <w:rFonts w:ascii="Times New Roman" w:eastAsia="Times New Roman" w:hAnsi="Times New Roman"/>
          <w:spacing w:val="-14"/>
        </w:rPr>
        <w:t xml:space="preserve">Trên cơ sở tổng hợp báo cáo của các cơ quan, </w:t>
      </w:r>
      <w:r w:rsidR="00BF3EA4" w:rsidRPr="009D42E6">
        <w:rPr>
          <w:rFonts w:ascii="Times New Roman" w:eastAsia="Times New Roman" w:hAnsi="Times New Roman"/>
          <w:spacing w:val="-14"/>
        </w:rPr>
        <w:t xml:space="preserve">tổ chức, </w:t>
      </w:r>
      <w:r w:rsidRPr="009D42E6">
        <w:rPr>
          <w:rFonts w:ascii="Times New Roman" w:eastAsia="Times New Roman" w:hAnsi="Times New Roman"/>
          <w:spacing w:val="-14"/>
        </w:rPr>
        <w:t>đơn vị, Uỷ ban nhân dân xã, phường, Sở Nội vụ báo cáo tổng kết việc thi hành Nghị quyết số 12/2021/NQ-</w:t>
      </w:r>
      <w:r w:rsidRPr="009D42E6">
        <w:rPr>
          <w:rFonts w:ascii="Times New Roman" w:eastAsia="Times New Roman" w:hAnsi="Times New Roman"/>
          <w:spacing w:val="-8"/>
        </w:rPr>
        <w:t>HĐND</w:t>
      </w:r>
      <w:r w:rsidRPr="009D42E6">
        <w:rPr>
          <w:rFonts w:ascii="Times New Roman" w:eastAsia="Times New Roman" w:hAnsi="Times New Roman"/>
          <w:i/>
          <w:iCs/>
          <w:spacing w:val="-8"/>
        </w:rPr>
        <w:t xml:space="preserve"> (được </w:t>
      </w:r>
      <w:r w:rsidRPr="009D42E6">
        <w:rPr>
          <w:rFonts w:ascii="Times New Roman" w:eastAsia="Times New Roman" w:hAnsi="Times New Roman"/>
          <w:i/>
          <w:iCs/>
        </w:rPr>
        <w:t>sửa đổi, bổ sung tại Nghị quyết số 03/2023/NQ-HĐND ngày 06/7/2023)</w:t>
      </w:r>
      <w:r w:rsidRPr="009D42E6">
        <w:rPr>
          <w:rFonts w:ascii="Times New Roman" w:eastAsia="Times New Roman" w:hAnsi="Times New Roman"/>
        </w:rPr>
        <w:t xml:space="preserve"> và đề xuất ngành nghề, nhu cầu thu hút nguồn nhân lực, đào tạo sau đại học.</w:t>
      </w:r>
      <w:r w:rsidRPr="009D42E6">
        <w:rPr>
          <w:rFonts w:ascii="Times New Roman" w:eastAsia="Times New Roman" w:hAnsi="Times New Roman"/>
          <w:i/>
          <w:iCs/>
        </w:rPr>
        <w:t xml:space="preserve"> </w:t>
      </w:r>
      <w:r w:rsidRPr="009D42E6">
        <w:rPr>
          <w:rFonts w:ascii="Times New Roman" w:eastAsia="Times New Roman" w:hAnsi="Times New Roman"/>
        </w:rPr>
        <w:t>Kết quả thực hiện như sau:</w:t>
      </w:r>
    </w:p>
    <w:p w14:paraId="61C37FAF" w14:textId="77777777"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lang w:val="nl-NL"/>
        </w:rPr>
      </w:pPr>
      <w:r w:rsidRPr="007D651C">
        <w:rPr>
          <w:rFonts w:ascii="Times New Roman" w:eastAsia="Times New Roman" w:hAnsi="Times New Roman"/>
          <w:b/>
          <w:lang w:val="nl-NL"/>
        </w:rPr>
        <w:t xml:space="preserve">I. BỐI CẢNH THỰC HIỆN TỔNG KẾT </w:t>
      </w:r>
    </w:p>
    <w:p w14:paraId="24063704" w14:textId="2B6ED42C"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iCs/>
          <w:lang w:val="vi-VN"/>
        </w:rPr>
      </w:pPr>
      <w:r w:rsidRPr="007D651C">
        <w:rPr>
          <w:rFonts w:ascii="Times New Roman" w:eastAsia="Times New Roman" w:hAnsi="Times New Roman"/>
          <w:lang w:val="vi-VN"/>
        </w:rPr>
        <w:t xml:space="preserve">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của Trung ương, </w:t>
      </w:r>
      <w:r w:rsidRPr="007D651C">
        <w:rPr>
          <w:rFonts w:ascii="Times New Roman" w:eastAsia="Times New Roman" w:hAnsi="Times New Roman"/>
          <w:iCs/>
          <w:lang w:val="vi-VN"/>
        </w:rPr>
        <w:t>tỉnh Tuyên Quang mới được thành lập (từ 01/7/2025) trên cơ sở sáp nhập tỉnh Hà Giang và tỉnh Tuyên Quang. Sau sắp xếp,</w:t>
      </w:r>
      <w:r w:rsidRPr="007D651C">
        <w:rPr>
          <w:rFonts w:ascii="Times New Roman" w:eastAsia="Times New Roman" w:hAnsi="Times New Roman"/>
        </w:rPr>
        <w:t xml:space="preserve"> tỉnh Tuyên Quang có 124 đơn </w:t>
      </w:r>
      <w:r w:rsidRPr="007D651C">
        <w:rPr>
          <w:rFonts w:ascii="Times New Roman" w:eastAsia="Times New Roman" w:hAnsi="Times New Roman"/>
        </w:rPr>
        <w:lastRenderedPageBreak/>
        <w:t>vị hành chính cấp xã (117 xã và 7 phường), 14 cơ quan chuyên môn, 10 đơn vị sự nghiệp công lập thuộc tỉnh</w:t>
      </w:r>
      <w:r w:rsidRPr="007D651C">
        <w:rPr>
          <w:rFonts w:ascii="Times New Roman" w:eastAsia="Times New Roman" w:hAnsi="Times New Roman"/>
          <w:shd w:val="clear" w:color="auto" w:fill="FFFFFF"/>
        </w:rPr>
        <w:t xml:space="preserve">; </w:t>
      </w:r>
      <w:r w:rsidRPr="007D651C">
        <w:rPr>
          <w:rFonts w:ascii="Times New Roman" w:eastAsia="Times New Roman" w:hAnsi="Times New Roman"/>
          <w:iCs/>
          <w:lang w:val="vi-VN"/>
        </w:rPr>
        <w:t>kết thúc hoạt động của đơn vị hành chính cấp huyện</w:t>
      </w:r>
      <w:r w:rsidRPr="007D651C">
        <w:rPr>
          <w:rFonts w:ascii="Times New Roman" w:eastAsia="Times New Roman" w:hAnsi="Times New Roman"/>
          <w:iCs/>
        </w:rPr>
        <w:t>;</w:t>
      </w:r>
      <w:r w:rsidRPr="007D651C">
        <w:rPr>
          <w:rFonts w:ascii="Times New Roman" w:eastAsia="Times New Roman" w:hAnsi="Times New Roman"/>
          <w:iCs/>
          <w:lang w:val="vi-VN"/>
        </w:rPr>
        <w:t xml:space="preserve"> </w:t>
      </w:r>
      <w:r w:rsidRPr="007D651C">
        <w:rPr>
          <w:rFonts w:ascii="Times New Roman" w:eastAsia="Times New Roman" w:hAnsi="Times New Roman"/>
          <w:lang w:val="vi-VN"/>
        </w:rPr>
        <w:t>một số căn cứ pháp lý để xây dựng ban hành Nghị quyết đã được thay thế bằng các văn bản quy phạm pháp luật khác</w:t>
      </w:r>
      <w:r w:rsidRPr="007D651C">
        <w:rPr>
          <w:rFonts w:ascii="Times New Roman" w:eastAsia="Times New Roman" w:hAnsi="Times New Roman"/>
        </w:rPr>
        <w:t xml:space="preserve">; </w:t>
      </w:r>
      <w:r w:rsidRPr="007D651C">
        <w:rPr>
          <w:rFonts w:ascii="Times New Roman" w:eastAsia="Times New Roman" w:hAnsi="Times New Roman"/>
          <w:lang w:val="vi-VN"/>
        </w:rPr>
        <w:t xml:space="preserve">mặt khác </w:t>
      </w:r>
      <w:r w:rsidRPr="007D651C">
        <w:rPr>
          <w:rFonts w:ascii="Times New Roman" w:eastAsia="Times New Roman" w:hAnsi="Times New Roman"/>
        </w:rPr>
        <w:t xml:space="preserve">trước khi thực hiện sáp nhập đơn vị hành chính </w:t>
      </w:r>
      <w:r w:rsidRPr="007D651C">
        <w:rPr>
          <w:rFonts w:ascii="Times New Roman" w:eastAsia="Times New Roman" w:hAnsi="Times New Roman"/>
          <w:lang w:val="vi-VN"/>
        </w:rPr>
        <w:t xml:space="preserve">tỉnh Hà Giang </w:t>
      </w:r>
      <w:r w:rsidRPr="007D651C">
        <w:rPr>
          <w:rFonts w:ascii="Times New Roman" w:eastAsia="Times New Roman" w:hAnsi="Times New Roman"/>
        </w:rPr>
        <w:t xml:space="preserve">(cũ) </w:t>
      </w:r>
      <w:r w:rsidRPr="007D651C">
        <w:rPr>
          <w:rFonts w:ascii="Times New Roman" w:eastAsia="Times New Roman" w:hAnsi="Times New Roman"/>
          <w:lang w:val="vi-VN"/>
        </w:rPr>
        <w:t>chưa ban hành chính sách thu hút nguồn nhân lực, hỗ trợ đào tạo sau đại học</w:t>
      </w:r>
      <w:r w:rsidR="009D23EE">
        <w:rPr>
          <w:rFonts w:ascii="Times New Roman" w:eastAsia="Times New Roman" w:hAnsi="Times New Roman"/>
        </w:rPr>
        <w:t>, nâng cao trình độ ngoại ngữ</w:t>
      </w:r>
      <w:r w:rsidRPr="007D651C">
        <w:rPr>
          <w:rFonts w:ascii="Times New Roman" w:eastAsia="Times New Roman" w:hAnsi="Times New Roman"/>
          <w:lang w:val="vi-VN"/>
        </w:rPr>
        <w:t xml:space="preserve"> trên địa bàn tỉnh</w:t>
      </w:r>
      <w:r w:rsidRPr="007D651C">
        <w:rPr>
          <w:rFonts w:ascii="Times New Roman" w:eastAsia="Times New Roman" w:hAnsi="Times New Roman"/>
        </w:rPr>
        <w:t xml:space="preserve">, </w:t>
      </w:r>
      <w:r w:rsidRPr="007D651C">
        <w:rPr>
          <w:rFonts w:ascii="Times New Roman" w:eastAsia="Times New Roman" w:hAnsi="Times New Roman"/>
          <w:iCs/>
          <w:lang w:val="vi-VN"/>
        </w:rPr>
        <w:t xml:space="preserve">do đó </w:t>
      </w:r>
      <w:r w:rsidRPr="007D651C">
        <w:rPr>
          <w:rFonts w:ascii="Times New Roman" w:eastAsia="Times New Roman" w:hAnsi="Times New Roman"/>
        </w:rPr>
        <w:t>Q</w:t>
      </w:r>
      <w:r w:rsidRPr="007D651C">
        <w:rPr>
          <w:rFonts w:ascii="Times New Roman" w:eastAsia="Times New Roman" w:hAnsi="Times New Roman"/>
          <w:lang w:val="vi-VN"/>
        </w:rPr>
        <w:t xml:space="preserve">uy định chính sách </w:t>
      </w:r>
      <w:r w:rsidRPr="007D651C">
        <w:rPr>
          <w:rFonts w:ascii="Times New Roman" w:eastAsia="Times New Roman" w:hAnsi="Times New Roman"/>
        </w:rPr>
        <w:t xml:space="preserve">thu hút nguồn nhân lực; </w:t>
      </w:r>
      <w:r w:rsidRPr="007D651C">
        <w:rPr>
          <w:rFonts w:ascii="Times New Roman" w:eastAsia="Times New Roman" w:hAnsi="Times New Roman"/>
          <w:lang w:val="vi-VN"/>
        </w:rPr>
        <w:t>hỗ trợ đào tạo sau đại học, nâng cao trình độ ngoại ngữ</w:t>
      </w:r>
      <w:r w:rsidRPr="007D651C">
        <w:rPr>
          <w:rFonts w:ascii="Times New Roman" w:eastAsia="Times New Roman" w:hAnsi="Times New Roman"/>
        </w:rPr>
        <w:t xml:space="preserve"> của Hội đồng</w:t>
      </w:r>
      <w:r w:rsidRPr="007D651C">
        <w:rPr>
          <w:rFonts w:ascii="Times New Roman" w:eastAsia="Times New Roman" w:hAnsi="Times New Roman"/>
          <w:lang w:val="vi-VN"/>
        </w:rPr>
        <w:t xml:space="preserve"> nhân dân tỉnh Tuyên Quang (trước hợp nhất) </w:t>
      </w:r>
      <w:r w:rsidRPr="007D651C">
        <w:rPr>
          <w:rFonts w:ascii="Times New Roman" w:eastAsia="Times New Roman" w:hAnsi="Times New Roman"/>
          <w:iCs/>
          <w:lang w:val="vi-VN"/>
        </w:rPr>
        <w:t xml:space="preserve">không còn phù hợp với </w:t>
      </w:r>
      <w:r w:rsidRPr="007D651C">
        <w:rPr>
          <w:rFonts w:ascii="Times New Roman" w:eastAsia="Times New Roman" w:hAnsi="Times New Roman"/>
          <w:iCs/>
        </w:rPr>
        <w:t>tỉnh Tuyên Quang mới</w:t>
      </w:r>
      <w:r w:rsidRPr="007D651C">
        <w:rPr>
          <w:rFonts w:ascii="Times New Roman" w:eastAsia="Times New Roman" w:hAnsi="Times New Roman"/>
          <w:iCs/>
          <w:lang w:val="vi-VN"/>
        </w:rPr>
        <w:t>.</w:t>
      </w:r>
    </w:p>
    <w:p w14:paraId="1D795126" w14:textId="14715DBB"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Cs/>
        </w:rPr>
      </w:pPr>
      <w:r w:rsidRPr="007D651C">
        <w:rPr>
          <w:rFonts w:ascii="Times New Roman" w:eastAsia="Times New Roman" w:hAnsi="Times New Roman"/>
          <w:bCs/>
          <w:lang w:val="vi-VN"/>
        </w:rPr>
        <w:t>Theo đó</w:t>
      </w:r>
      <w:r w:rsidRPr="007D651C">
        <w:rPr>
          <w:rFonts w:ascii="Times New Roman" w:eastAsia="Times New Roman" w:hAnsi="Times New Roman"/>
          <w:lang w:val="vi-VN"/>
        </w:rPr>
        <w:t xml:space="preserve"> </w:t>
      </w:r>
      <w:r w:rsidRPr="007D651C">
        <w:rPr>
          <w:rFonts w:ascii="Times New Roman" w:eastAsia="Times New Roman" w:hAnsi="Times New Roman"/>
          <w:bCs/>
          <w:lang w:val="vi-VN"/>
        </w:rPr>
        <w:t>để phù hợp với điều kiện thực tế của tỉnh sau khi sắp xếp đơn vị hành chính cấp tỉnh (hợp nhất đơn vị hành tỉnh Tuyên Quang và tỉnh Hà Giang)</w:t>
      </w:r>
      <w:r w:rsidRPr="007D651C">
        <w:rPr>
          <w:rFonts w:ascii="Times New Roman" w:eastAsia="Times New Roman" w:hAnsi="Times New Roman"/>
          <w:bCs/>
        </w:rPr>
        <w:t xml:space="preserve"> </w:t>
      </w:r>
      <w:r w:rsidRPr="007D651C">
        <w:rPr>
          <w:rFonts w:ascii="Times New Roman" w:eastAsia="Times New Roman" w:hAnsi="Times New Roman"/>
          <w:iCs/>
          <w:lang w:val="vi-VN"/>
        </w:rPr>
        <w:t>và thực hiện mô hình chính quyền địa phương hai cấp</w:t>
      </w:r>
      <w:r w:rsidRPr="007D651C">
        <w:rPr>
          <w:rFonts w:ascii="Times New Roman" w:eastAsia="Times New Roman" w:hAnsi="Times New Roman"/>
          <w:iCs/>
        </w:rPr>
        <w:t xml:space="preserve"> và cụ thể hoá các quy định chi tiết </w:t>
      </w:r>
      <w:r w:rsidRPr="007D651C">
        <w:rPr>
          <w:rFonts w:ascii="Times New Roman" w:eastAsia="Times New Roman" w:hAnsi="Times New Roman"/>
          <w:lang w:val="nl-NL"/>
        </w:rPr>
        <w:t>tại khoản 1, khoản 2, khoản 4 Điều 4 Luật Cán bộ, công chức ngày 24/6/2025; khoản 1, khoản 2 Điều 37 Nghị định số 171/2025/NĐ-CP của Chính phủ Quy định về đào tạo, bồi dưỡng công chức; khoản 2 Điều 8 Nghị định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xã hội</w:t>
      </w:r>
      <w:r w:rsidRPr="007D651C">
        <w:rPr>
          <w:rFonts w:ascii="Times New Roman" w:eastAsia="Times New Roman" w:hAnsi="Times New Roman"/>
          <w:iCs/>
        </w:rPr>
        <w:t xml:space="preserve">; đồng thời </w:t>
      </w:r>
      <w:r w:rsidRPr="007D651C">
        <w:rPr>
          <w:rFonts w:ascii="Times New Roman" w:eastAsia="Times New Roman" w:hAnsi="Times New Roman"/>
          <w:lang w:val="nl-NL"/>
        </w:rPr>
        <w:t>nhằm tiếp tục thu hút những người có trình độ cao về công tác tại</w:t>
      </w:r>
      <w:r w:rsidR="00F009DC">
        <w:rPr>
          <w:rFonts w:ascii="Times New Roman" w:eastAsia="Times New Roman" w:hAnsi="Times New Roman"/>
          <w:lang w:val="nl-NL"/>
        </w:rPr>
        <w:t xml:space="preserve">, </w:t>
      </w:r>
      <w:r w:rsidRPr="00F009DC">
        <w:rPr>
          <w:rFonts w:ascii="Times New Roman" w:eastAsia="Times New Roman" w:hAnsi="Times New Roman"/>
          <w:color w:val="7030A0"/>
          <w:lang w:val="nl-NL"/>
        </w:rPr>
        <w:t xml:space="preserve">góp phần thực hiện có hiệu quả nhiệm vụ trọng tâm, đột phá phá của tỉnh theo </w:t>
      </w:r>
      <w:r w:rsidRPr="00F009DC">
        <w:rPr>
          <w:rFonts w:ascii="Times New Roman" w:eastAsia="Times New Roman" w:hAnsi="Times New Roman"/>
          <w:color w:val="7030A0"/>
          <w:shd w:val="clear" w:color="auto" w:fill="FDFDFD"/>
        </w:rPr>
        <w:t>Nghị quyết Đại hội đảng bộ tỉnh Tuyên Quang lần thứ nhất, nhiệm kỳ 2025-2030,</w:t>
      </w:r>
      <w:r w:rsidRPr="007D651C">
        <w:rPr>
          <w:rFonts w:ascii="Times New Roman" w:eastAsia="Times New Roman" w:hAnsi="Times New Roman"/>
          <w:shd w:val="clear" w:color="auto" w:fill="FDFDFD"/>
        </w:rPr>
        <w:t xml:space="preserve"> do đó </w:t>
      </w:r>
      <w:r w:rsidRPr="007D651C">
        <w:rPr>
          <w:rFonts w:ascii="Times New Roman" w:eastAsia="Times New Roman" w:hAnsi="Times New Roman"/>
          <w:bCs/>
          <w:lang w:val="vi-VN"/>
        </w:rPr>
        <w:t xml:space="preserve">cần phải </w:t>
      </w:r>
      <w:r w:rsidRPr="007D651C">
        <w:rPr>
          <w:rFonts w:ascii="Times New Roman" w:eastAsia="Times New Roman" w:hAnsi="Times New Roman"/>
          <w:bCs/>
        </w:rPr>
        <w:t xml:space="preserve">ban hành chính sách </w:t>
      </w:r>
      <w:r w:rsidRPr="007D651C">
        <w:rPr>
          <w:rFonts w:ascii="Times New Roman" w:eastAsia="Times New Roman" w:hAnsi="Times New Roman"/>
        </w:rPr>
        <w:t>thu hút nguồn nhân lực chất lượng cao và chính sách đối với người có tài năng trong hoạt động công vụ trên địa bàn tỉnh Tuyên Quang</w:t>
      </w:r>
      <w:r w:rsidRPr="007D651C">
        <w:rPr>
          <w:rFonts w:ascii="Times New Roman" w:eastAsia="Times New Roman" w:hAnsi="Times New Roman"/>
          <w:bCs/>
        </w:rPr>
        <w:t xml:space="preserve"> </w:t>
      </w:r>
      <w:r w:rsidRPr="007D651C">
        <w:rPr>
          <w:rFonts w:ascii="Times New Roman" w:eastAsia="Times New Roman" w:hAnsi="Times New Roman"/>
          <w:bCs/>
          <w:lang w:val="vi-VN"/>
        </w:rPr>
        <w:t>thay thế</w:t>
      </w:r>
      <w:r w:rsidRPr="007D651C">
        <w:rPr>
          <w:rFonts w:ascii="Times New Roman" w:eastAsia="Times New Roman" w:hAnsi="Times New Roman"/>
          <w:lang w:val="vi-VN"/>
        </w:rPr>
        <w:t xml:space="preserve"> Nghị quyết số 12/2021/NQ- HĐND ngày 20/12/2021;</w:t>
      </w:r>
      <w:r w:rsidRPr="007D651C">
        <w:rPr>
          <w:rFonts w:ascii="Times New Roman" w:eastAsia="Times New Roman" w:hAnsi="Times New Roman"/>
        </w:rPr>
        <w:t xml:space="preserve"> </w:t>
      </w:r>
      <w:r w:rsidRPr="007D651C">
        <w:rPr>
          <w:rFonts w:ascii="Times New Roman" w:eastAsia="Times New Roman" w:hAnsi="Times New Roman"/>
          <w:lang w:val="vi-VN"/>
        </w:rPr>
        <w:t>Nghị quyết số 03/2023/NQ-HĐND ngày 06/07/2023 của Hội đồng nhân dân tỉnh</w:t>
      </w:r>
      <w:r w:rsidRPr="007D651C">
        <w:rPr>
          <w:rFonts w:ascii="Times New Roman" w:eastAsia="Times New Roman" w:hAnsi="Times New Roman"/>
        </w:rPr>
        <w:t xml:space="preserve"> Tuyên Quang (cũ).</w:t>
      </w:r>
    </w:p>
    <w:p w14:paraId="522AD73A" w14:textId="171E913C"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i/>
          <w:iCs/>
        </w:rPr>
      </w:pPr>
      <w:r w:rsidRPr="00507BF5">
        <w:rPr>
          <w:rFonts w:ascii="Times New Roman" w:eastAsia="Times New Roman" w:hAnsi="Times New Roman"/>
          <w:spacing w:val="6"/>
          <w:lang w:val="nl-NL"/>
        </w:rPr>
        <w:t xml:space="preserve">Quá trình thực hiện tổng kết, </w:t>
      </w:r>
      <w:r w:rsidRPr="00507BF5">
        <w:rPr>
          <w:rFonts w:ascii="Times New Roman" w:eastAsia="Times New Roman" w:hAnsi="Times New Roman"/>
          <w:spacing w:val="6"/>
        </w:rPr>
        <w:t>Sở Nội vụ đã ban hành Văn bản số 1936/SNV-</w:t>
      </w:r>
      <w:r w:rsidRPr="007D651C">
        <w:rPr>
          <w:rFonts w:ascii="Times New Roman" w:eastAsia="Times New Roman" w:hAnsi="Times New Roman"/>
        </w:rPr>
        <w:t>CCVC ngày 25/9/2025 đề nghị các cơ quan, đơn vị, Uỷ ban nhân dân xã, phương đánh giá kết quả thực hiện Nghị quyết số 12/2021/NQ-HĐND</w:t>
      </w:r>
      <w:r w:rsidRPr="007D651C">
        <w:rPr>
          <w:rFonts w:ascii="Times New Roman" w:eastAsia="Times New Roman" w:hAnsi="Times New Roman"/>
          <w:i/>
          <w:iCs/>
        </w:rPr>
        <w:t xml:space="preserve"> </w:t>
      </w:r>
      <w:r w:rsidRPr="007D651C">
        <w:rPr>
          <w:rFonts w:ascii="Times New Roman" w:eastAsia="Times New Roman" w:hAnsi="Times New Roman"/>
        </w:rPr>
        <w:t xml:space="preserve">ngày 20/12/2021; </w:t>
      </w:r>
      <w:r w:rsidRPr="007D651C">
        <w:rPr>
          <w:rFonts w:ascii="Times New Roman" w:eastAsia="Times New Roman" w:hAnsi="Times New Roman"/>
          <w:lang w:val="vi-VN"/>
        </w:rPr>
        <w:t>Nghị quyết số 03/2023/NQ-HĐND</w:t>
      </w:r>
      <w:r w:rsidRPr="007D651C">
        <w:rPr>
          <w:rFonts w:ascii="Times New Roman" w:eastAsia="Times New Roman" w:hAnsi="Times New Roman"/>
        </w:rPr>
        <w:t xml:space="preserve"> ngày 06/7/2023 của Hội đồng nhân dân tỉnh Tuyên Quang (cũ), trong đó đề nghị đánh giá kết quả triển khai thực hiện chính sách thu hút nguồn nhân lực; hỗ trợ đào tạo sau đại học, nâng cao trình độ ngoại ngữ giai đoạn 2021-2025 theo Nghị quyết số 12/2021/NQ-HĐND ngày 20/12/2021 </w:t>
      </w:r>
      <w:r w:rsidRPr="00A03C61">
        <w:rPr>
          <w:rFonts w:ascii="Times New Roman" w:eastAsia="Times New Roman" w:hAnsi="Times New Roman"/>
          <w:i/>
          <w:iCs/>
        </w:rPr>
        <w:t>(được sửa đổi, bổ sung tại Nghị quyết số 03/2023/NQ-HĐND ngày 06/7/2023)</w:t>
      </w:r>
      <w:r w:rsidRPr="007D651C">
        <w:rPr>
          <w:rFonts w:ascii="Times New Roman" w:eastAsia="Times New Roman" w:hAnsi="Times New Roman"/>
        </w:rPr>
        <w:t>; đề xuất ngành nghề, số lượng cần thu hút</w:t>
      </w:r>
      <w:r w:rsidRPr="007D651C">
        <w:rPr>
          <w:rFonts w:ascii="Times New Roman" w:eastAsia="Times New Roman" w:hAnsi="Times New Roman"/>
          <w:i/>
          <w:iCs/>
        </w:rPr>
        <w:t xml:space="preserve"> </w:t>
      </w:r>
      <w:r w:rsidRPr="007D651C">
        <w:rPr>
          <w:rFonts w:ascii="Times New Roman" w:eastAsia="Times New Roman" w:hAnsi="Times New Roman"/>
        </w:rPr>
        <w:t xml:space="preserve">nguồn nhân lực, đào tạo sau đại học; rà soát dự kiến số lượng, ngành nghề cần đào tạo nâng cao trình độ sau đại học giai đoạn 2026-2030, </w:t>
      </w:r>
      <w:r w:rsidRPr="007D651C">
        <w:rPr>
          <w:rFonts w:ascii="Times New Roman" w:eastAsia="Times New Roman" w:hAnsi="Times New Roman"/>
          <w:lang w:val="nl-NL"/>
        </w:rPr>
        <w:t>đánh giá về những ưu điểm, hạn chế, nguyên nhân và đề xuất (nếu có) để nghiên cứu, tiếp thu xây dựng dự thảo mới của Hội đồng nhân dân tỉnh.</w:t>
      </w:r>
    </w:p>
    <w:p w14:paraId="508F9D4B" w14:textId="5A10878E" w:rsidR="003744F6"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spacing w:val="-2"/>
        </w:rPr>
      </w:pPr>
      <w:r w:rsidRPr="007D651C">
        <w:rPr>
          <w:rFonts w:ascii="Times New Roman" w:eastAsia="Times New Roman" w:hAnsi="Times New Roman"/>
          <w:spacing w:val="-2"/>
          <w:lang w:val="nl-NL"/>
        </w:rPr>
        <w:t xml:space="preserve">Đến ngày </w:t>
      </w:r>
      <w:r w:rsidR="00767908" w:rsidRPr="007D651C">
        <w:rPr>
          <w:rFonts w:ascii="Times New Roman" w:eastAsia="Times New Roman" w:hAnsi="Times New Roman"/>
          <w:spacing w:val="-2"/>
          <w:lang w:val="nl-NL"/>
        </w:rPr>
        <w:t>30/10/2025</w:t>
      </w:r>
      <w:r w:rsidRPr="007D651C">
        <w:rPr>
          <w:rFonts w:ascii="Times New Roman" w:eastAsia="Times New Roman" w:hAnsi="Times New Roman"/>
          <w:spacing w:val="-2"/>
          <w:lang w:val="nl-NL"/>
        </w:rPr>
        <w:t xml:space="preserve">, Sở Nội vụ đã nhận được </w:t>
      </w:r>
      <w:r w:rsidR="00094CD1" w:rsidRPr="007D651C">
        <w:rPr>
          <w:rFonts w:ascii="Times New Roman" w:hAnsi="Times New Roman"/>
          <w:spacing w:val="-2"/>
        </w:rPr>
        <w:t xml:space="preserve">báo cáo, đề xuất ngành, nghề, nhu cầu thu hút nguồn nhân lực, đào tạo sau đại học của </w:t>
      </w:r>
      <w:r w:rsidR="00094CD1" w:rsidRPr="007D651C">
        <w:rPr>
          <w:rFonts w:ascii="Times New Roman" w:eastAsia="Times New Roman" w:hAnsi="Times New Roman"/>
          <w:spacing w:val="-2"/>
        </w:rPr>
        <w:t>106/169 cơ quan, đơn vị.</w:t>
      </w:r>
    </w:p>
    <w:p w14:paraId="472D40F5" w14:textId="77777777" w:rsidR="008D76E7" w:rsidRPr="007D651C" w:rsidRDefault="008D76E7"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spacing w:val="-2"/>
          <w:lang w:val="af-ZA"/>
        </w:rPr>
      </w:pPr>
    </w:p>
    <w:p w14:paraId="30921C31" w14:textId="038DEEE5" w:rsidR="003744F6" w:rsidRPr="007D651C" w:rsidRDefault="005617BE"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bCs/>
        </w:rPr>
      </w:pPr>
      <w:r w:rsidRPr="007D651C">
        <w:rPr>
          <w:rFonts w:ascii="Times New Roman" w:eastAsia="Times New Roman" w:hAnsi="Times New Roman"/>
          <w:b/>
          <w:bCs/>
        </w:rPr>
        <w:lastRenderedPageBreak/>
        <w:t>II</w:t>
      </w:r>
      <w:r w:rsidR="003744F6" w:rsidRPr="007D651C">
        <w:rPr>
          <w:rFonts w:ascii="Times New Roman" w:eastAsia="Times New Roman" w:hAnsi="Times New Roman"/>
          <w:b/>
          <w:bCs/>
        </w:rPr>
        <w:t xml:space="preserve">. KẾT QUẢ TRIỂN KHAI THỰC </w:t>
      </w:r>
    </w:p>
    <w:p w14:paraId="70504463" w14:textId="77777777"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lang w:val="af-ZA"/>
        </w:rPr>
      </w:pPr>
      <w:r w:rsidRPr="007D651C">
        <w:rPr>
          <w:rFonts w:ascii="Times New Roman" w:eastAsia="Times New Roman" w:hAnsi="Times New Roman"/>
          <w:b/>
          <w:lang w:val="af-ZA"/>
        </w:rPr>
        <w:t>1. Công tác chỉ đạo, triển khai và tổ chức thi hành văn bản quy phạm pháp luật</w:t>
      </w:r>
    </w:p>
    <w:p w14:paraId="525C79D5" w14:textId="0515E981"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tabs>
          <w:tab w:val="left" w:pos="993"/>
        </w:tabs>
        <w:spacing w:before="120" w:after="120"/>
        <w:ind w:firstLine="720"/>
        <w:jc w:val="both"/>
        <w:rPr>
          <w:rFonts w:ascii="Times New Roman" w:eastAsia="Times New Roman" w:hAnsi="Times New Roman"/>
          <w:shd w:val="clear" w:color="auto" w:fill="FFFFFF"/>
          <w:lang w:val="vi-VN"/>
        </w:rPr>
      </w:pPr>
      <w:r w:rsidRPr="008D76E7">
        <w:rPr>
          <w:rFonts w:ascii="Times New Roman" w:eastAsia="Times New Roman" w:hAnsi="Times New Roman"/>
          <w:spacing w:val="6"/>
        </w:rPr>
        <w:t xml:space="preserve">Ngay sau khi Hội đồng nhân dân tỉnh ban hành </w:t>
      </w:r>
      <w:r w:rsidRPr="008D76E7">
        <w:rPr>
          <w:rFonts w:ascii="Times New Roman" w:eastAsia="Times New Roman" w:hAnsi="Times New Roman"/>
          <w:spacing w:val="6"/>
          <w:lang w:val="vi-VN"/>
        </w:rPr>
        <w:t>Nghị quyết số 12/2021/NQ-</w:t>
      </w:r>
      <w:r w:rsidRPr="007D651C">
        <w:rPr>
          <w:rFonts w:ascii="Times New Roman" w:eastAsia="Times New Roman" w:hAnsi="Times New Roman"/>
          <w:lang w:val="vi-VN"/>
        </w:rPr>
        <w:t xml:space="preserve">HĐND </w:t>
      </w:r>
      <w:r w:rsidRPr="007D651C">
        <w:rPr>
          <w:rFonts w:ascii="Times New Roman" w:eastAsia="Times New Roman" w:hAnsi="Times New Roman"/>
        </w:rPr>
        <w:t xml:space="preserve">ngày 20/12/2021; </w:t>
      </w:r>
      <w:r w:rsidRPr="007D651C">
        <w:rPr>
          <w:rFonts w:ascii="Times New Roman" w:eastAsia="Times New Roman" w:hAnsi="Times New Roman"/>
          <w:lang w:val="vi-VN"/>
        </w:rPr>
        <w:t>Nghị quyết số 03/2023/NQ-HĐND</w:t>
      </w:r>
      <w:r w:rsidRPr="007D651C">
        <w:rPr>
          <w:rFonts w:ascii="Times New Roman" w:eastAsia="Times New Roman" w:hAnsi="Times New Roman"/>
        </w:rPr>
        <w:t xml:space="preserve"> ngày 06/7/2023 của Hội đồng nhân dân tỉnh Tuyên Quang (cũ)</w:t>
      </w:r>
      <w:r w:rsidRPr="007D651C">
        <w:rPr>
          <w:rFonts w:ascii="Times New Roman" w:eastAsia="Times New Roman" w:hAnsi="Times New Roman"/>
          <w:i/>
          <w:iCs/>
        </w:rPr>
        <w:t>,</w:t>
      </w:r>
      <w:r w:rsidRPr="007D651C">
        <w:rPr>
          <w:rFonts w:ascii="Times New Roman" w:eastAsia="Times New Roman" w:hAnsi="Times New Roman"/>
        </w:rPr>
        <w:t xml:space="preserve"> Uỷ ban nhân dân tỉnh đã ban hành văn bản </w:t>
      </w:r>
      <w:r w:rsidRPr="007D651C">
        <w:rPr>
          <w:rFonts w:ascii="Times New Roman" w:eastAsia="Times New Roman" w:hAnsi="Times New Roman"/>
          <w:shd w:val="clear" w:color="auto" w:fill="FFFFFF"/>
          <w:lang w:val="vi-VN"/>
        </w:rPr>
        <w:t xml:space="preserve">chỉ đạo các cơ quan, </w:t>
      </w:r>
      <w:r w:rsidR="00274829">
        <w:rPr>
          <w:rFonts w:ascii="Times New Roman" w:eastAsia="Times New Roman" w:hAnsi="Times New Roman"/>
          <w:shd w:val="clear" w:color="auto" w:fill="FFFFFF"/>
        </w:rPr>
        <w:t xml:space="preserve">tổ chức, </w:t>
      </w:r>
      <w:r w:rsidRPr="007D651C">
        <w:rPr>
          <w:rFonts w:ascii="Times New Roman" w:eastAsia="Times New Roman" w:hAnsi="Times New Roman"/>
          <w:shd w:val="clear" w:color="auto" w:fill="FFFFFF"/>
          <w:lang w:val="vi-VN"/>
        </w:rPr>
        <w:t xml:space="preserve">đơn vị, Ủy ban nhân dân huyện, thành phố tổ chức phổ biến, quán triệt đầy đủ các nội dung của Nghị quyết đến cán bộ, công chức, viên chức, người lao động </w:t>
      </w:r>
      <w:r w:rsidR="00274829">
        <w:rPr>
          <w:rFonts w:ascii="Times New Roman" w:eastAsia="Times New Roman" w:hAnsi="Times New Roman"/>
          <w:shd w:val="clear" w:color="auto" w:fill="FFFFFF"/>
        </w:rPr>
        <w:t xml:space="preserve">thuộc thẩm quyền quản lý </w:t>
      </w:r>
      <w:r w:rsidRPr="007D651C">
        <w:rPr>
          <w:rFonts w:ascii="Times New Roman" w:eastAsia="Times New Roman" w:hAnsi="Times New Roman"/>
          <w:shd w:val="clear" w:color="auto" w:fill="FFFFFF"/>
          <w:lang w:val="vi-VN"/>
        </w:rPr>
        <w:t xml:space="preserve">và </w:t>
      </w:r>
      <w:r w:rsidRPr="007D651C">
        <w:rPr>
          <w:rFonts w:ascii="Times New Roman" w:eastAsia="Times New Roman" w:hAnsi="Times New Roman"/>
          <w:shd w:val="clear" w:color="auto" w:fill="FFFFFF"/>
        </w:rPr>
        <w:t>N</w:t>
      </w:r>
      <w:r w:rsidRPr="007D651C">
        <w:rPr>
          <w:rFonts w:ascii="Times New Roman" w:eastAsia="Times New Roman" w:hAnsi="Times New Roman"/>
          <w:shd w:val="clear" w:color="auto" w:fill="FFFFFF"/>
          <w:lang w:val="vi-VN"/>
        </w:rPr>
        <w:t>hân dân biết</w:t>
      </w:r>
      <w:r w:rsidR="00274829">
        <w:rPr>
          <w:rFonts w:ascii="Times New Roman" w:eastAsia="Times New Roman" w:hAnsi="Times New Roman"/>
          <w:shd w:val="clear" w:color="auto" w:fill="FFFFFF"/>
        </w:rPr>
        <w:t xml:space="preserve"> để</w:t>
      </w:r>
      <w:r w:rsidRPr="007D651C">
        <w:rPr>
          <w:rFonts w:ascii="Times New Roman" w:eastAsia="Times New Roman" w:hAnsi="Times New Roman"/>
          <w:shd w:val="clear" w:color="auto" w:fill="FFFFFF"/>
          <w:lang w:val="vi-VN"/>
        </w:rPr>
        <w:t xml:space="preserve"> thực hiện đầy đủ, nghiêm túc, hiệu quả các nội dung của Nghị quyết.</w:t>
      </w:r>
    </w:p>
    <w:p w14:paraId="40BAC190" w14:textId="6BF02AA6"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tabs>
          <w:tab w:val="left" w:pos="993"/>
        </w:tabs>
        <w:spacing w:before="120" w:after="120"/>
        <w:ind w:firstLine="720"/>
        <w:jc w:val="both"/>
        <w:rPr>
          <w:rFonts w:ascii="Times New Roman" w:eastAsia="Times New Roman" w:hAnsi="Times New Roman"/>
        </w:rPr>
      </w:pPr>
      <w:r w:rsidRPr="00400763">
        <w:rPr>
          <w:rFonts w:ascii="Times New Roman" w:eastAsia="Times New Roman" w:hAnsi="Times New Roman"/>
          <w:spacing w:val="6"/>
        </w:rPr>
        <w:t xml:space="preserve">Sở Nội vụ </w:t>
      </w:r>
      <w:r w:rsidR="00400763" w:rsidRPr="00400763">
        <w:rPr>
          <w:rFonts w:ascii="Times New Roman" w:eastAsia="Times New Roman" w:hAnsi="Times New Roman"/>
          <w:spacing w:val="6"/>
        </w:rPr>
        <w:t xml:space="preserve">đã chủ động phối hợp với </w:t>
      </w:r>
      <w:r w:rsidRPr="00400763">
        <w:rPr>
          <w:rFonts w:ascii="Times New Roman" w:eastAsia="Times New Roman" w:hAnsi="Times New Roman"/>
          <w:spacing w:val="6"/>
        </w:rPr>
        <w:t xml:space="preserve">Sở Tài chính ban hành Hướng dẫn liên ngành số 30/HDLN ngày 27/4/2023 về </w:t>
      </w:r>
      <w:r w:rsidR="00400763" w:rsidRPr="00400763">
        <w:rPr>
          <w:rFonts w:ascii="Times New Roman" w:eastAsia="Times New Roman" w:hAnsi="Times New Roman"/>
          <w:spacing w:val="6"/>
        </w:rPr>
        <w:t xml:space="preserve">việc </w:t>
      </w:r>
      <w:r w:rsidRPr="00400763">
        <w:rPr>
          <w:rFonts w:ascii="Times New Roman" w:eastAsia="Times New Roman" w:hAnsi="Times New Roman"/>
          <w:spacing w:val="6"/>
        </w:rPr>
        <w:t>thực hiện Nghị quyết số 12/2021/NQ-</w:t>
      </w:r>
      <w:r w:rsidRPr="007D651C">
        <w:rPr>
          <w:rFonts w:ascii="Times New Roman" w:eastAsia="Times New Roman" w:hAnsi="Times New Roman"/>
        </w:rPr>
        <w:t xml:space="preserve">HĐND ngày 20/12/2021 của Hội đồng nhân dân tỉnh khóa XIX, kỳ họp thứ ba Quy định chính sách thu hút nguồn nhân lực, hỗ trợ đào tạo sau đại học, nâng cao trình độ ngoại ngữ để hướng dẫn các cơ quan, đơn vị trên địa bàn tỉnh triển khai thực hiện </w:t>
      </w:r>
      <w:r w:rsidRPr="007D651C">
        <w:rPr>
          <w:rFonts w:ascii="Times New Roman" w:eastAsia="Times New Roman" w:hAnsi="Times New Roman"/>
          <w:lang w:val="vi-VN"/>
        </w:rPr>
        <w:t xml:space="preserve">Nghị quyết </w:t>
      </w:r>
      <w:r w:rsidRPr="007D651C">
        <w:rPr>
          <w:rFonts w:ascii="Times New Roman" w:eastAsia="Times New Roman" w:hAnsi="Times New Roman"/>
        </w:rPr>
        <w:t>đảm bảo đồng bộ, thống nhất trên địa bàn toàn tỉnh.</w:t>
      </w:r>
    </w:p>
    <w:p w14:paraId="57A07B57" w14:textId="6CCDC8A6"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tabs>
          <w:tab w:val="left" w:pos="993"/>
        </w:tabs>
        <w:spacing w:before="120" w:after="120"/>
        <w:ind w:firstLine="720"/>
        <w:jc w:val="both"/>
        <w:rPr>
          <w:rFonts w:ascii="Times New Roman" w:eastAsia="Times New Roman" w:hAnsi="Times New Roman"/>
          <w:shd w:val="clear" w:color="auto" w:fill="FFFFFF"/>
          <w:lang w:val="vi-VN"/>
        </w:rPr>
      </w:pPr>
      <w:r w:rsidRPr="007D651C">
        <w:rPr>
          <w:rFonts w:ascii="Times New Roman" w:eastAsia="Times New Roman" w:hAnsi="Times New Roman"/>
          <w:shd w:val="clear" w:color="auto" w:fill="FFFFFF"/>
          <w:lang w:val="vi-VN"/>
        </w:rPr>
        <w:t xml:space="preserve">Các cơ quan, </w:t>
      </w:r>
      <w:r w:rsidR="00365F0F">
        <w:rPr>
          <w:rFonts w:ascii="Times New Roman" w:eastAsia="Times New Roman" w:hAnsi="Times New Roman"/>
          <w:shd w:val="clear" w:color="auto" w:fill="FFFFFF"/>
        </w:rPr>
        <w:t xml:space="preserve">tổ chức, </w:t>
      </w:r>
      <w:r w:rsidRPr="007D651C">
        <w:rPr>
          <w:rFonts w:ascii="Times New Roman" w:eastAsia="Times New Roman" w:hAnsi="Times New Roman"/>
          <w:shd w:val="clear" w:color="auto" w:fill="FFFFFF"/>
          <w:lang w:val="vi-VN"/>
        </w:rPr>
        <w:t xml:space="preserve">đơn vị </w:t>
      </w:r>
      <w:r w:rsidRPr="007D651C">
        <w:rPr>
          <w:rFonts w:ascii="Times New Roman" w:eastAsia="Times New Roman" w:hAnsi="Times New Roman"/>
          <w:lang w:val="nl-NL"/>
        </w:rPr>
        <w:t xml:space="preserve">từ tỉnh đến cơ sở tập trung lãnh đạo, chỉ đạo và tổ chức thực hiện </w:t>
      </w:r>
      <w:r w:rsidRPr="007D651C">
        <w:rPr>
          <w:rFonts w:ascii="Times New Roman" w:eastAsia="Times New Roman" w:hAnsi="Times New Roman"/>
          <w:lang w:val="vi-VN"/>
        </w:rPr>
        <w:t xml:space="preserve">nghiêm Nghị quyết và </w:t>
      </w:r>
      <w:r w:rsidRPr="007D651C">
        <w:rPr>
          <w:rFonts w:ascii="Times New Roman" w:eastAsia="Times New Roman" w:hAnsi="Times New Roman"/>
        </w:rPr>
        <w:t>v</w:t>
      </w:r>
      <w:r w:rsidRPr="007D651C">
        <w:rPr>
          <w:rFonts w:ascii="Times New Roman" w:eastAsia="Times New Roman" w:hAnsi="Times New Roman"/>
          <w:lang w:val="vi-VN"/>
        </w:rPr>
        <w:t xml:space="preserve">ăn bản chỉ đạo của Ủy ban nhân dân tỉnh về tổ chức thực hiện Nghị quyết </w:t>
      </w:r>
      <w:r w:rsidRPr="007D651C">
        <w:rPr>
          <w:rFonts w:ascii="Times New Roman" w:eastAsia="Times New Roman" w:hAnsi="Times New Roman"/>
          <w:shd w:val="clear" w:color="auto" w:fill="FFFFFF"/>
          <w:lang w:val="vi-VN"/>
        </w:rPr>
        <w:t>đảm bảo kịp thời, đúng quy định.</w:t>
      </w:r>
    </w:p>
    <w:p w14:paraId="42A8A421" w14:textId="0FC8F4F5"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lang w:val="af-ZA"/>
        </w:rPr>
      </w:pPr>
      <w:r w:rsidRPr="007D651C">
        <w:rPr>
          <w:rFonts w:ascii="Times New Roman" w:eastAsia="Times New Roman" w:hAnsi="Times New Roman"/>
          <w:b/>
          <w:lang w:val="af-ZA"/>
        </w:rPr>
        <w:t xml:space="preserve">2. Kết quả thi hành </w:t>
      </w:r>
      <w:r w:rsidRPr="007D651C">
        <w:rPr>
          <w:rFonts w:ascii="Times New Roman" w:eastAsia="Times New Roman" w:hAnsi="Times New Roman"/>
          <w:b/>
        </w:rPr>
        <w:t>Nghị quyết</w:t>
      </w:r>
      <w:r w:rsidRPr="007D651C">
        <w:rPr>
          <w:rFonts w:ascii="Times New Roman" w:eastAsia="Times New Roman" w:hAnsi="Times New Roman"/>
          <w:b/>
          <w:lang w:val="af-ZA"/>
        </w:rPr>
        <w:t>, đánh giá ưu điểm, bất cập, hạn chế của văn bản quy phạm pháp luật</w:t>
      </w:r>
    </w:p>
    <w:p w14:paraId="1A37DE70" w14:textId="783F00EA" w:rsidR="00FD4516" w:rsidRPr="007D651C" w:rsidRDefault="00FD451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lang w:val="af-ZA"/>
        </w:rPr>
      </w:pPr>
      <w:r w:rsidRPr="007D651C">
        <w:rPr>
          <w:rFonts w:ascii="Times New Roman" w:eastAsia="Times New Roman" w:hAnsi="Times New Roman"/>
          <w:b/>
          <w:lang w:val="af-ZA"/>
        </w:rPr>
        <w:t>2.1. Ưu điểm</w:t>
      </w:r>
    </w:p>
    <w:p w14:paraId="241318C8" w14:textId="59EFE168" w:rsidR="00162BF4" w:rsidRPr="007D651C" w:rsidRDefault="00D86A15"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i/>
          <w:iCs/>
          <w:lang w:val="af-ZA"/>
        </w:rPr>
      </w:pPr>
      <w:r w:rsidRPr="007D651C">
        <w:rPr>
          <w:rFonts w:ascii="Times New Roman" w:eastAsia="Times New Roman" w:hAnsi="Times New Roman"/>
          <w:b/>
          <w:i/>
          <w:iCs/>
          <w:lang w:val="af-ZA"/>
        </w:rPr>
        <w:t xml:space="preserve">2.1.1. </w:t>
      </w:r>
      <w:r w:rsidR="00162BF4" w:rsidRPr="007D651C">
        <w:rPr>
          <w:rFonts w:ascii="Times New Roman" w:eastAsia="Times New Roman" w:hAnsi="Times New Roman"/>
          <w:b/>
          <w:bCs/>
          <w:i/>
          <w:iCs/>
        </w:rPr>
        <w:t>Về chính sách tại Nghị quyết.</w:t>
      </w:r>
    </w:p>
    <w:p w14:paraId="63E09295" w14:textId="62FA65DD" w:rsidR="00FD4516" w:rsidRPr="007D651C" w:rsidRDefault="00FD4516" w:rsidP="00162BF4">
      <w:pPr>
        <w:tabs>
          <w:tab w:val="left" w:pos="900"/>
        </w:tabs>
        <w:spacing w:before="120" w:after="120"/>
        <w:ind w:firstLine="720"/>
        <w:jc w:val="both"/>
        <w:rPr>
          <w:rFonts w:ascii="Times New Roman" w:eastAsia="Times New Roman" w:hAnsi="Times New Roman"/>
          <w:b/>
          <w:lang w:val="vi-VN"/>
        </w:rPr>
      </w:pPr>
      <w:r w:rsidRPr="007D651C">
        <w:rPr>
          <w:rFonts w:ascii="Times New Roman" w:eastAsia="Times New Roman" w:hAnsi="Times New Roman"/>
        </w:rPr>
        <w:t>- Chính sách thu hút nguồn nhân lực, hỗ trợ đào tạo sau đại học, nâng cao trình độ ngoại ngữ được Hội đồng nhân dân tỉnh ban hành phù hợp với điều kiện thực tế của tỉnh, nhận được sự đồng tình ủng hộ cao của đội ngũ cán bộ, công chức, viên chức và người dân trên đ</w:t>
      </w:r>
      <w:r w:rsidR="00842DF4" w:rsidRPr="007D651C">
        <w:rPr>
          <w:rFonts w:ascii="Times New Roman" w:eastAsia="Times New Roman" w:hAnsi="Times New Roman"/>
        </w:rPr>
        <w:t xml:space="preserve">ịa </w:t>
      </w:r>
      <w:r w:rsidRPr="007D651C">
        <w:rPr>
          <w:rFonts w:ascii="Times New Roman" w:eastAsia="Times New Roman" w:hAnsi="Times New Roman"/>
        </w:rPr>
        <w:t>bàn tỉnh</w:t>
      </w:r>
      <w:r w:rsidR="007F6D5D" w:rsidRPr="007D651C">
        <w:rPr>
          <w:rFonts w:ascii="Times New Roman" w:eastAsia="Times New Roman" w:hAnsi="Times New Roman"/>
        </w:rPr>
        <w:t>; đ</w:t>
      </w:r>
      <w:r w:rsidRPr="007D651C">
        <w:rPr>
          <w:rFonts w:ascii="Times New Roman" w:eastAsia="Times New Roman" w:hAnsi="Times New Roman"/>
        </w:rPr>
        <w:t>ối tượng áp dụng của chính sách rộng</w:t>
      </w:r>
      <w:r w:rsidR="007F6D5D" w:rsidRPr="007D651C">
        <w:rPr>
          <w:rStyle w:val="FootnoteReference"/>
          <w:rFonts w:ascii="Times New Roman" w:eastAsia="Times New Roman" w:hAnsi="Times New Roman"/>
        </w:rPr>
        <w:footnoteReference w:id="1"/>
      </w:r>
      <w:r w:rsidRPr="007D651C">
        <w:rPr>
          <w:rFonts w:ascii="Times New Roman" w:eastAsia="Times New Roman" w:hAnsi="Times New Roman"/>
        </w:rPr>
        <w:t xml:space="preserve"> phù hợp với điều kiện thực tế của tỉnh</w:t>
      </w:r>
      <w:r w:rsidR="007F6D5D" w:rsidRPr="007D651C">
        <w:rPr>
          <w:rFonts w:ascii="Times New Roman" w:eastAsia="Times New Roman" w:hAnsi="Times New Roman"/>
        </w:rPr>
        <w:t xml:space="preserve">. Điều kiện, trình tự, thủ tục thực hiện chính sách hỗ trợ quy định đơn giản, đầy đủ, dễ thực hiện, đảm bảo đúng quy định của pháp luật; </w:t>
      </w:r>
      <w:r w:rsidR="007F6D5D" w:rsidRPr="007D651C">
        <w:rPr>
          <w:rFonts w:ascii="Times New Roman" w:eastAsia="Times New Roman" w:hAnsi="Times New Roman"/>
          <w:lang w:val="vi-VN"/>
        </w:rPr>
        <w:t>d</w:t>
      </w:r>
      <w:r w:rsidR="007F6D5D" w:rsidRPr="007D651C">
        <w:rPr>
          <w:rFonts w:ascii="Times New Roman" w:eastAsia="Times New Roman" w:hAnsi="Times New Roman"/>
        </w:rPr>
        <w:t xml:space="preserve">anh mục ngành nghề thu hút và hỗ trợ đào tạo sau đại học cơ bản đã đáp ứng nhu cầu nguồn nhân lực còn thiếu của các cơ quan, </w:t>
      </w:r>
      <w:r w:rsidR="00E82FDF">
        <w:rPr>
          <w:rFonts w:ascii="Times New Roman" w:eastAsia="Times New Roman" w:hAnsi="Times New Roman"/>
        </w:rPr>
        <w:t xml:space="preserve">tổ chức, </w:t>
      </w:r>
      <w:r w:rsidR="007F6D5D" w:rsidRPr="007D651C">
        <w:rPr>
          <w:rFonts w:ascii="Times New Roman" w:eastAsia="Times New Roman" w:hAnsi="Times New Roman"/>
        </w:rPr>
        <w:t xml:space="preserve">đơn vị và phù hợp với định hướng phát triển kinh tế của tỉnh giai đoạn </w:t>
      </w:r>
      <w:r w:rsidR="007F6D5D" w:rsidRPr="007D651C">
        <w:rPr>
          <w:rFonts w:ascii="Times New Roman" w:eastAsia="Times New Roman" w:hAnsi="Times New Roman"/>
          <w:lang w:val="vi-VN"/>
        </w:rPr>
        <w:t>2021-2025</w:t>
      </w:r>
      <w:r w:rsidRPr="007D651C">
        <w:rPr>
          <w:rFonts w:ascii="Times New Roman" w:eastAsia="Times New Roman" w:hAnsi="Times New Roman"/>
        </w:rPr>
        <w:t xml:space="preserve"> của tỉnh</w:t>
      </w:r>
      <w:r w:rsidR="007F6D5D" w:rsidRPr="007D651C">
        <w:rPr>
          <w:rFonts w:ascii="Times New Roman" w:eastAsia="Times New Roman" w:hAnsi="Times New Roman"/>
        </w:rPr>
        <w:t>; k</w:t>
      </w:r>
      <w:r w:rsidRPr="007D651C">
        <w:rPr>
          <w:rFonts w:ascii="Times New Roman" w:eastAsia="Times New Roman" w:hAnsi="Times New Roman"/>
        </w:rPr>
        <w:t xml:space="preserve">inh phí hỗ trợ cho đối tượng hưởng chính sách thu hút nguồn nhân lực, hỗ trợ đào tạo sau đại học, nâng cao trình độ ngoại ngữ đã giải quyết những khó khăn ban đầu cho cán bộ, công chức, viên chức được thu hút về tỉnh công tác và cán bộ, công chức, viên chức được cử đi đào tạo nâng cao trình độ sau đại học, tạo động lực, niềm tin trong công tác và học tập. </w:t>
      </w:r>
      <w:r w:rsidR="00871463" w:rsidRPr="007D651C">
        <w:rPr>
          <w:rFonts w:ascii="Times New Roman" w:eastAsia="Times New Roman" w:hAnsi="Times New Roman"/>
        </w:rPr>
        <w:t>T</w:t>
      </w:r>
      <w:r w:rsidR="00162BF4" w:rsidRPr="007D651C">
        <w:rPr>
          <w:rFonts w:ascii="Times New Roman" w:eastAsia="Times New Roman" w:hAnsi="Times New Roman"/>
        </w:rPr>
        <w:t xml:space="preserve">ừ năm 2022 đến nay đã </w:t>
      </w:r>
      <w:r w:rsidR="00871463" w:rsidRPr="007D651C">
        <w:rPr>
          <w:rFonts w:ascii="Times New Roman" w:eastAsia="Times New Roman" w:hAnsi="Times New Roman"/>
        </w:rPr>
        <w:t xml:space="preserve">thực hiện </w:t>
      </w:r>
      <w:r w:rsidR="00871463" w:rsidRPr="007D651C">
        <w:rPr>
          <w:rFonts w:ascii="Times New Roman" w:eastAsia="Times New Roman" w:hAnsi="Times New Roman"/>
        </w:rPr>
        <w:lastRenderedPageBreak/>
        <w:t xml:space="preserve">hỗ trợ thu hút </w:t>
      </w:r>
      <w:r w:rsidR="00254C49" w:rsidRPr="007D651C">
        <w:rPr>
          <w:rFonts w:ascii="Times New Roman" w:eastAsia="Times New Roman" w:hAnsi="Times New Roman"/>
        </w:rPr>
        <w:t xml:space="preserve">nguồn nhân lực đối </w:t>
      </w:r>
      <w:r w:rsidR="00871463" w:rsidRPr="007D651C">
        <w:rPr>
          <w:rFonts w:ascii="Times New Roman" w:eastAsia="Times New Roman" w:hAnsi="Times New Roman"/>
        </w:rPr>
        <w:t>với 277</w:t>
      </w:r>
      <w:r w:rsidR="00162BF4" w:rsidRPr="007D651C">
        <w:rPr>
          <w:rFonts w:ascii="Times New Roman" w:hAnsi="Times New Roman"/>
        </w:rPr>
        <w:t xml:space="preserve"> người</w:t>
      </w:r>
      <w:r w:rsidR="00162BF4" w:rsidRPr="007D651C">
        <w:rPr>
          <w:rStyle w:val="FootnoteReference"/>
          <w:rFonts w:ascii="Times New Roman" w:hAnsi="Times New Roman"/>
        </w:rPr>
        <w:footnoteReference w:id="2"/>
      </w:r>
      <w:r w:rsidR="00162BF4" w:rsidRPr="007D651C">
        <w:rPr>
          <w:rFonts w:ascii="Times New Roman" w:hAnsi="Times New Roman"/>
        </w:rPr>
        <w:t xml:space="preserve"> về công tác tại tỉnh; hỗ trợ 154 cán bộ, công chức, viên chức đi đào tạo nâng cao trình độ sau đại học; hỗ trợ nâng cao trình độ ngoại ngữ cho 02 viên chức.</w:t>
      </w:r>
      <w:r w:rsidR="00162BF4" w:rsidRPr="007D651C">
        <w:rPr>
          <w:rFonts w:ascii="Times New Roman" w:eastAsia="Times New Roman" w:hAnsi="Times New Roman"/>
        </w:rPr>
        <w:t xml:space="preserve"> </w:t>
      </w:r>
    </w:p>
    <w:p w14:paraId="62A4DF8B" w14:textId="3F1E02D2" w:rsidR="00F009DC" w:rsidRPr="00267422" w:rsidRDefault="007F6D5D" w:rsidP="00267422">
      <w:pPr>
        <w:tabs>
          <w:tab w:val="left" w:pos="900"/>
        </w:tabs>
        <w:spacing w:before="120" w:after="120"/>
        <w:ind w:firstLine="720"/>
        <w:jc w:val="both"/>
        <w:rPr>
          <w:rFonts w:ascii="Times New Roman" w:eastAsia="Times New Roman" w:hAnsi="Times New Roman"/>
          <w:b/>
          <w:color w:val="7030A0"/>
          <w:lang w:val="vi-VN"/>
        </w:rPr>
      </w:pPr>
      <w:r w:rsidRPr="007D651C">
        <w:rPr>
          <w:rFonts w:ascii="Times New Roman" w:eastAsia="Times New Roman" w:hAnsi="Times New Roman"/>
        </w:rPr>
        <w:t xml:space="preserve">Thông qua việc triển khai thực hiện có hiệu quả Nghị quyết của Hội đồng nhân dân tỉnh </w:t>
      </w:r>
      <w:bookmarkStart w:id="1" w:name="_Hlk213417249"/>
      <w:r w:rsidRPr="007D651C">
        <w:rPr>
          <w:rFonts w:ascii="Times New Roman" w:eastAsia="Times New Roman" w:hAnsi="Times New Roman"/>
        </w:rPr>
        <w:t xml:space="preserve">đã góp phần vào mục tiêu phát triển nguồn nhân lực chất lượng cao của tỉnh, phù hợp với định hướng nâng cao chất lượng đội ngũ cán bộ, công chức, viên chức các cơ quan, </w:t>
      </w:r>
      <w:r w:rsidR="002B1A7A">
        <w:rPr>
          <w:rFonts w:ascii="Times New Roman" w:eastAsia="Times New Roman" w:hAnsi="Times New Roman"/>
        </w:rPr>
        <w:t xml:space="preserve">tổ chức, </w:t>
      </w:r>
      <w:r w:rsidRPr="007D651C">
        <w:rPr>
          <w:rFonts w:ascii="Times New Roman" w:eastAsia="Times New Roman" w:hAnsi="Times New Roman"/>
        </w:rPr>
        <w:t>đơn vị trên địa bàn tỉnh</w:t>
      </w:r>
      <w:r w:rsidRPr="00267422">
        <w:rPr>
          <w:rFonts w:ascii="Times New Roman" w:eastAsia="Times New Roman" w:hAnsi="Times New Roman"/>
          <w:color w:val="7030A0"/>
        </w:rPr>
        <w:t>;</w:t>
      </w:r>
      <w:r w:rsidR="00F009DC" w:rsidRPr="00267422">
        <w:rPr>
          <w:rFonts w:ascii="Times New Roman" w:hAnsi="Times New Roman"/>
          <w:color w:val="7030A0"/>
          <w:lang w:val="nl-NL"/>
        </w:rPr>
        <w:t xml:space="preserve"> trình độ chuyên môn của đội ngũ cán bộ, công chức tham mưu, nghiên cứu tổng hợp cấp tỉnh, cấp huyện ngày càng được nâng lên, đến hết năm 202</w:t>
      </w:r>
      <w:r w:rsidR="00F009DC" w:rsidRPr="00267422">
        <w:rPr>
          <w:rFonts w:ascii="Times New Roman" w:hAnsi="Times New Roman"/>
          <w:color w:val="7030A0"/>
          <w:lang w:val="nl-NL"/>
        </w:rPr>
        <w:t>4</w:t>
      </w:r>
      <w:r w:rsidR="00F009DC" w:rsidRPr="00267422">
        <w:rPr>
          <w:rFonts w:ascii="Times New Roman" w:hAnsi="Times New Roman"/>
          <w:color w:val="7030A0"/>
          <w:lang w:val="nl-NL"/>
        </w:rPr>
        <w:t>, có 99,8% cán bộ, công chức tham mưu, nghiên cứu, tổng hợp có trình độ chuyên môn từ đại học trở lên, trong đó 22% có trình độ trên đại học</w:t>
      </w:r>
      <w:r w:rsidR="00F009DC" w:rsidRPr="00267422">
        <w:rPr>
          <w:rFonts w:ascii="Times New Roman" w:hAnsi="Times New Roman"/>
          <w:i/>
          <w:color w:val="7030A0"/>
          <w:lang w:val="nl-NL"/>
        </w:rPr>
        <w:t xml:space="preserve">; </w:t>
      </w:r>
      <w:r w:rsidR="00F009DC" w:rsidRPr="00267422">
        <w:rPr>
          <w:rFonts w:ascii="Times New Roman" w:hAnsi="Times New Roman"/>
          <w:color w:val="7030A0"/>
          <w:lang w:val="nl-NL"/>
        </w:rPr>
        <w:t>có 71,32% viên chức đạt chuẩn và trên chuẩn về trình độ</w:t>
      </w:r>
      <w:r w:rsidR="00F009DC" w:rsidRPr="00267422">
        <w:rPr>
          <w:rFonts w:ascii="Times New Roman" w:hAnsi="Times New Roman"/>
          <w:i/>
          <w:color w:val="7030A0"/>
          <w:lang w:val="nl-NL"/>
        </w:rPr>
        <w:t xml:space="preserve"> (đã tính nâng chuẩn trình độ của giáo viên theo Luật Giáo dục năm 2019)</w:t>
      </w:r>
      <w:r w:rsidR="00F009DC" w:rsidRPr="00267422">
        <w:rPr>
          <w:rFonts w:ascii="Times New Roman" w:hAnsi="Times New Roman"/>
          <w:color w:val="7030A0"/>
          <w:lang w:val="nl-NL"/>
        </w:rPr>
        <w:t>.</w:t>
      </w:r>
    </w:p>
    <w:bookmarkEnd w:id="1"/>
    <w:p w14:paraId="35B2A16D" w14:textId="20E79489" w:rsidR="00F009DC" w:rsidRPr="00774F59" w:rsidRDefault="00F009DC" w:rsidP="00162BF4">
      <w:pPr>
        <w:tabs>
          <w:tab w:val="left" w:pos="900"/>
        </w:tabs>
        <w:spacing w:before="120" w:after="120"/>
        <w:ind w:firstLine="720"/>
        <w:jc w:val="both"/>
        <w:rPr>
          <w:rFonts w:ascii="Times New Roman" w:eastAsia="Times New Roman" w:hAnsi="Times New Roman"/>
          <w:b/>
          <w:color w:val="FF0000"/>
          <w:lang w:val="vi-VN"/>
        </w:rPr>
      </w:pPr>
      <w:r w:rsidRPr="002847E6">
        <w:rPr>
          <w:rFonts w:ascii="Times New Roman" w:hAnsi="Times New Roman"/>
          <w:lang w:val="nl-NL"/>
        </w:rPr>
        <w:t xml:space="preserve">Thông qua việc triển khai thực hiện có hiệu quả Nghị quyết, đã góp phần nâng cao chất lượng đội ngũ cán bộ, công chức, viên chức các cơ quan, đơn vị trên địa bàn tỉnh; trình độ chuyên môn của đội ngũ cán bộ, công chức tham mưu, nghiên cứu tổng hợp cấp tỉnh, cấp huyện ngày càng được nâng lên, đến hết năm 2020, có 99,8% cán bộ, công chức tham mưu, nghiên cứu, tổng hợp có trình độ chuyên môn từ đại học trở lên, trong đó 22% có trình độ trên đại học </w:t>
      </w:r>
      <w:r w:rsidRPr="002847E6">
        <w:rPr>
          <w:rFonts w:ascii="Times New Roman" w:hAnsi="Times New Roman"/>
          <w:i/>
          <w:lang w:val="nl-NL"/>
        </w:rPr>
        <w:t xml:space="preserve">(mục tiêu theo Kết luận số 51-KL/TU về tiếp tục thực hiện Nghị quyết số 02-NQ/TU ngày 13/5/2011 của Ban Chấp hành Đảng bộ tỉnh (khóa XV) về phát triển và nâng cao chất lượng nguồn nhân lực tỉnh Tuyên Quang giai đoạn 2011-2015, định hướng đến năm 2020 là 10%), </w:t>
      </w:r>
      <w:r w:rsidRPr="002847E6">
        <w:rPr>
          <w:rFonts w:ascii="Times New Roman" w:hAnsi="Times New Roman"/>
          <w:lang w:val="nl-NL"/>
        </w:rPr>
        <w:t>tăng 9,6% so với năm 2016</w:t>
      </w:r>
      <w:r w:rsidRPr="002847E6">
        <w:rPr>
          <w:rFonts w:ascii="Times New Roman" w:hAnsi="Times New Roman"/>
          <w:i/>
          <w:lang w:val="nl-NL"/>
        </w:rPr>
        <w:t xml:space="preserve">; </w:t>
      </w:r>
      <w:r w:rsidRPr="002847E6">
        <w:rPr>
          <w:rFonts w:ascii="Times New Roman" w:hAnsi="Times New Roman"/>
          <w:lang w:val="nl-NL"/>
        </w:rPr>
        <w:t>có 71,32% viên chức đạt chuẩn và trên chuẩn về trình độ</w:t>
      </w:r>
      <w:r w:rsidRPr="002847E6">
        <w:rPr>
          <w:rFonts w:ascii="Times New Roman" w:hAnsi="Times New Roman"/>
          <w:i/>
          <w:lang w:val="nl-NL"/>
        </w:rPr>
        <w:t xml:space="preserve"> (đã tính nâng chuẩn trình độ của giáo viên theo Luật Giáo dục năm 2019)</w:t>
      </w:r>
      <w:r w:rsidRPr="002847E6">
        <w:rPr>
          <w:rFonts w:ascii="Times New Roman" w:hAnsi="Times New Roman"/>
          <w:lang w:val="nl-NL"/>
        </w:rPr>
        <w:t>.</w:t>
      </w:r>
    </w:p>
    <w:p w14:paraId="56C68B14" w14:textId="10E01438" w:rsidR="00FD4516" w:rsidRPr="007D651C" w:rsidRDefault="00D86A15" w:rsidP="00FD4516">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bCs/>
          <w:i/>
          <w:iCs/>
        </w:rPr>
      </w:pPr>
      <w:r w:rsidRPr="007D651C">
        <w:rPr>
          <w:rFonts w:ascii="Times New Roman" w:eastAsia="Times New Roman" w:hAnsi="Times New Roman"/>
          <w:b/>
          <w:bCs/>
          <w:i/>
          <w:iCs/>
        </w:rPr>
        <w:t>2.1.2. Đối với c</w:t>
      </w:r>
      <w:r w:rsidR="00FD4516" w:rsidRPr="007D651C">
        <w:rPr>
          <w:rFonts w:ascii="Times New Roman" w:eastAsia="Times New Roman" w:hAnsi="Times New Roman"/>
          <w:b/>
          <w:bCs/>
          <w:i/>
          <w:iCs/>
        </w:rPr>
        <w:t>án bộ, công chức, viên chức được thu hút</w:t>
      </w:r>
      <w:r w:rsidRPr="007D651C">
        <w:rPr>
          <w:rFonts w:ascii="Times New Roman" w:eastAsia="Times New Roman" w:hAnsi="Times New Roman"/>
          <w:b/>
          <w:bCs/>
          <w:i/>
          <w:iCs/>
        </w:rPr>
        <w:t>, hỗ trợ đi đào tạo sau đại học</w:t>
      </w:r>
    </w:p>
    <w:p w14:paraId="19D26D3D" w14:textId="34A9C9E5" w:rsidR="00FD4516" w:rsidRPr="00155B12" w:rsidRDefault="00FD4516" w:rsidP="008640E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i/>
          <w:iCs/>
        </w:rPr>
      </w:pPr>
      <w:r w:rsidRPr="007D651C">
        <w:rPr>
          <w:rFonts w:ascii="Times New Roman" w:eastAsia="Times New Roman" w:hAnsi="Times New Roman"/>
        </w:rPr>
        <w:t xml:space="preserve">Đội ngũ công chức, viên chức có trình độ cao được thu hút về tỉnh công tác đa phần đã phát huy tốt được vai trò, trách nhiệm trong tham mưu, nghiên cứu và tổ chức, triển khai thực hiện các nhiệm vụ được giao của cơ quan, tổ chức, đơn vị đã góp phần nâng cao chất lượng thực thi công vụ công chức và trong hoạt động nghề nghiệp của các cơ quan, đơn vị trên địa bàn tỉnh. </w:t>
      </w:r>
      <w:r w:rsidR="008640E5" w:rsidRPr="007D651C">
        <w:rPr>
          <w:rFonts w:ascii="Times New Roman" w:eastAsia="Times New Roman" w:hAnsi="Times New Roman"/>
        </w:rPr>
        <w:t xml:space="preserve">Hầu hết công chức, viên chức thuộc đối tượng thu hút thực hiện tốt cam kết về thời gian công tác tại tỉnh; 100% công chức, viên chức thuộc diện thu hút, hằng năm được các cơ quan, đơn vị đánh giá, phân loại hoàn thành tốt nhiệm vụ trở lên. Tuy nhiên, trong thời gian thực hiện chính sách có 02 người phải bồi hoàn kinh phí hỗ trợ thu hút, do chưa đủ thời gian công tác theo cam kết </w:t>
      </w:r>
      <w:r w:rsidR="008640E5" w:rsidRPr="00155B12">
        <w:rPr>
          <w:rFonts w:ascii="Times New Roman" w:eastAsia="Times New Roman" w:hAnsi="Times New Roman"/>
          <w:i/>
          <w:iCs/>
        </w:rPr>
        <w:t>(nghỉ thôi việc theo nguyện vọng cá nhân)</w:t>
      </w:r>
      <w:r w:rsidR="008640E5" w:rsidRPr="007D651C">
        <w:rPr>
          <w:rFonts w:ascii="Times New Roman" w:eastAsia="Times New Roman" w:hAnsi="Times New Roman"/>
        </w:rPr>
        <w:t xml:space="preserve">; kinh phí bồi hoàn 134.100.000 đồng </w:t>
      </w:r>
      <w:r w:rsidR="008640E5" w:rsidRPr="00155B12">
        <w:rPr>
          <w:rFonts w:ascii="Times New Roman" w:eastAsia="Times New Roman" w:hAnsi="Times New Roman"/>
          <w:i/>
          <w:iCs/>
        </w:rPr>
        <w:t xml:space="preserve">(một trăm ba mươi tư triệu một trăm nghìn đồng chẵn). </w:t>
      </w:r>
    </w:p>
    <w:p w14:paraId="070B246B" w14:textId="3EBD3599" w:rsidR="009F577F" w:rsidRPr="007D651C" w:rsidRDefault="008640E5" w:rsidP="009F577F">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7D651C">
        <w:rPr>
          <w:rFonts w:ascii="Times New Roman" w:hAnsi="Times New Roman"/>
          <w:lang w:val="nl-NL"/>
        </w:rPr>
        <w:lastRenderedPageBreak/>
        <w:t>Về cơ bản đội ngũ cán bộ, công chức, viên chức sau khi được cử đi đào tạo sau đại học đã phát huy được sở trường, thế mạnh và áp dụng kiến thức học tập vào thực tiễn công việc, chất lượng tham mưu của cán bộ, công chức, viên chức được nâng lên rõ rệt, đã có những đóng góp tích cực trong quá trình thực hiện nhiệm vụ tại cơ quan, đơn vị</w:t>
      </w:r>
      <w:r w:rsidR="009F577F" w:rsidRPr="007D651C">
        <w:rPr>
          <w:rFonts w:ascii="Times New Roman" w:hAnsi="Times New Roman"/>
          <w:lang w:val="nl-NL"/>
        </w:rPr>
        <w:t xml:space="preserve">; hằng năm 100% cán bộ, công chức, viên chức được đánh giá, xếp loại chất lượng từ hoàn thành tốt nhiệm vụ trở lên. Tuy nhiên </w:t>
      </w:r>
      <w:r w:rsidR="009F577F" w:rsidRPr="007D651C">
        <w:rPr>
          <w:rFonts w:ascii="Times New Roman" w:eastAsia="Times New Roman" w:hAnsi="Times New Roman"/>
        </w:rPr>
        <w:t>trong thời gian thực hiện chính sách có 04 người phải bồi hoàn kinh phí, trong đó có 01 người bồi hoàn kinh phí do</w:t>
      </w:r>
      <w:r w:rsidR="003744F6" w:rsidRPr="007D651C">
        <w:rPr>
          <w:rFonts w:ascii="Times New Roman" w:eastAsia="Times New Roman" w:hAnsi="Times New Roman"/>
        </w:rPr>
        <w:t xml:space="preserve"> chưa hoàn thành cam kết đã chuyển công tác đến các cơ quan, đơn vị ngoài tỉnh</w:t>
      </w:r>
      <w:r w:rsidR="009F577F" w:rsidRPr="007D651C">
        <w:rPr>
          <w:rFonts w:ascii="Times New Roman" w:eastAsia="Times New Roman" w:hAnsi="Times New Roman"/>
        </w:rPr>
        <w:t>; 02 người bồi hoàn kinh phí do chưa đủ thời gian công tác theo cam kết (nghỉ thôi việc theo nguyện vọng cá nhân); 01 người bồi hoàn kinh phí do xin dừng tham gia đào tạo trình độ Tiến sĩ; tổng kinh phí bồi hoàn là 299.903.875 đồng.</w:t>
      </w:r>
    </w:p>
    <w:p w14:paraId="469B7376" w14:textId="3A3A3065" w:rsidR="003744F6" w:rsidRPr="007D651C" w:rsidRDefault="0095692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bCs/>
        </w:rPr>
      </w:pPr>
      <w:r w:rsidRPr="007D651C">
        <w:rPr>
          <w:rFonts w:ascii="Times New Roman" w:eastAsia="Times New Roman" w:hAnsi="Times New Roman"/>
          <w:b/>
          <w:bCs/>
        </w:rPr>
        <w:t>3</w:t>
      </w:r>
      <w:r w:rsidR="003744F6" w:rsidRPr="007D651C">
        <w:rPr>
          <w:rFonts w:ascii="Times New Roman" w:eastAsia="Times New Roman" w:hAnsi="Times New Roman"/>
          <w:b/>
          <w:bCs/>
        </w:rPr>
        <w:t xml:space="preserve">. </w:t>
      </w:r>
      <w:r w:rsidR="000533BB" w:rsidRPr="007D651C">
        <w:rPr>
          <w:rFonts w:ascii="Times New Roman" w:eastAsia="Times New Roman" w:hAnsi="Times New Roman"/>
          <w:b/>
          <w:bCs/>
        </w:rPr>
        <w:t>Bất cập, h</w:t>
      </w:r>
      <w:r w:rsidR="003744F6" w:rsidRPr="007D651C">
        <w:rPr>
          <w:rFonts w:ascii="Times New Roman" w:eastAsia="Times New Roman" w:hAnsi="Times New Roman"/>
          <w:b/>
          <w:bCs/>
        </w:rPr>
        <w:t>ạn chế</w:t>
      </w:r>
    </w:p>
    <w:p w14:paraId="5538AC7C" w14:textId="0FCC64B3" w:rsidR="000533BB" w:rsidRPr="007D651C" w:rsidRDefault="000533BB" w:rsidP="006E53C6">
      <w:pPr>
        <w:spacing w:before="60" w:after="60"/>
        <w:ind w:firstLine="720"/>
        <w:jc w:val="both"/>
        <w:rPr>
          <w:rFonts w:ascii="Times New Roman" w:eastAsia="Times New Roman" w:hAnsi="Times New Roman"/>
        </w:rPr>
      </w:pPr>
      <w:bookmarkStart w:id="2" w:name="_Hlk213418891"/>
      <w:r w:rsidRPr="007D651C">
        <w:rPr>
          <w:rFonts w:ascii="Times New Roman" w:hAnsi="Times New Roman" w:cstheme="majorHAnsi"/>
          <w:lang w:val="nl-NL"/>
        </w:rPr>
        <w:t>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của Trung ương, tỉnh Tuyên Quang mới được thành lập (từ 01/7/2025) trên cơ sở sáp nhập tỉnh Hà Giang và tỉnh Tuyên Quang. Sau sắp xếp, toàn tỉnh có 124 đơn vị hành chính cấp xã, kết thúc hoạt động của đơn vị hành chính cấp huyện</w:t>
      </w:r>
      <w:r w:rsidR="00656B34">
        <w:rPr>
          <w:rFonts w:ascii="Times New Roman" w:hAnsi="Times New Roman" w:cstheme="majorHAnsi"/>
          <w:lang w:val="nl-NL"/>
        </w:rPr>
        <w:t xml:space="preserve">; </w:t>
      </w:r>
      <w:r w:rsidR="006E53C6" w:rsidRPr="007D651C">
        <w:rPr>
          <w:rFonts w:ascii="Times New Roman" w:eastAsia="Times New Roman" w:hAnsi="Times New Roman"/>
          <w:lang w:val="vi-VN"/>
        </w:rPr>
        <w:t>một số căn cứ pháp lý để xây dựng ban hành Nghị quyết đã được thay thế bằng các văn bản quy phạm pháp luật khác, mặt khác tỉnh Hà Giang</w:t>
      </w:r>
      <w:r w:rsidR="006E53C6" w:rsidRPr="007D651C">
        <w:rPr>
          <w:rFonts w:ascii="Times New Roman" w:eastAsia="Times New Roman" w:hAnsi="Times New Roman"/>
        </w:rPr>
        <w:t xml:space="preserve"> (cũ)</w:t>
      </w:r>
      <w:r w:rsidR="006E53C6" w:rsidRPr="007D651C">
        <w:rPr>
          <w:rFonts w:ascii="Times New Roman" w:eastAsia="Times New Roman" w:hAnsi="Times New Roman"/>
          <w:lang w:val="vi-VN"/>
        </w:rPr>
        <w:t xml:space="preserve"> </w:t>
      </w:r>
      <w:bookmarkStart w:id="3" w:name="_Hlk213419244"/>
      <w:r w:rsidR="006E53C6" w:rsidRPr="007D651C">
        <w:rPr>
          <w:rFonts w:ascii="Times New Roman" w:eastAsia="Times New Roman" w:hAnsi="Times New Roman"/>
          <w:lang w:val="vi-VN"/>
        </w:rPr>
        <w:t>chưa ban hành chính sách thu hút nguồn nhân lực, hỗ trợ đào tạo sau đại học</w:t>
      </w:r>
      <w:r w:rsidR="00656B34">
        <w:rPr>
          <w:rFonts w:ascii="Times New Roman" w:eastAsia="Times New Roman" w:hAnsi="Times New Roman"/>
        </w:rPr>
        <w:t>, nâng cao trình độ ngoại ngữ</w:t>
      </w:r>
      <w:r w:rsidR="006E53C6" w:rsidRPr="007D651C">
        <w:rPr>
          <w:rFonts w:ascii="Times New Roman" w:eastAsia="Times New Roman" w:hAnsi="Times New Roman"/>
          <w:lang w:val="vi-VN"/>
        </w:rPr>
        <w:t xml:space="preserve"> trên địa bàn tỉnh</w:t>
      </w:r>
      <w:r w:rsidR="006E53C6" w:rsidRPr="007D651C">
        <w:rPr>
          <w:rFonts w:ascii="Times New Roman" w:eastAsia="Times New Roman" w:hAnsi="Times New Roman"/>
        </w:rPr>
        <w:t>.</w:t>
      </w:r>
      <w:r w:rsidR="00656B34">
        <w:rPr>
          <w:rFonts w:ascii="Times New Roman" w:eastAsia="Times New Roman" w:hAnsi="Times New Roman"/>
        </w:rPr>
        <w:t xml:space="preserve"> </w:t>
      </w:r>
    </w:p>
    <w:bookmarkEnd w:id="3"/>
    <w:p w14:paraId="37C516B6" w14:textId="65D08C0A" w:rsidR="006E53C6" w:rsidRPr="007D651C" w:rsidRDefault="006E53C6" w:rsidP="006E53C6">
      <w:pPr>
        <w:spacing w:before="60" w:after="60"/>
        <w:ind w:firstLine="720"/>
        <w:jc w:val="both"/>
        <w:rPr>
          <w:rFonts w:ascii="Times New Roman" w:hAnsi="Times New Roman" w:cstheme="majorHAnsi"/>
          <w:spacing w:val="-2"/>
          <w:lang w:val="nl-NL"/>
        </w:rPr>
      </w:pPr>
      <w:r w:rsidRPr="007D651C">
        <w:rPr>
          <w:rFonts w:ascii="Times New Roman" w:hAnsi="Times New Roman" w:cstheme="majorHAnsi"/>
          <w:spacing w:val="-2"/>
          <w:lang w:val="nl-NL"/>
        </w:rPr>
        <w:t xml:space="preserve">Do vậy, việc tiếp tục thi hành văn bản quy phạm pháp luật của </w:t>
      </w:r>
      <w:r w:rsidR="00813F14" w:rsidRPr="007D651C">
        <w:rPr>
          <w:rFonts w:ascii="Times New Roman" w:hAnsi="Times New Roman" w:cstheme="majorHAnsi"/>
          <w:spacing w:val="-2"/>
          <w:lang w:val="nl-NL"/>
        </w:rPr>
        <w:t xml:space="preserve">Hội đồng nhân dân tỉnh </w:t>
      </w:r>
      <w:r w:rsidRPr="007D651C">
        <w:rPr>
          <w:rFonts w:ascii="Times New Roman" w:hAnsi="Times New Roman" w:cstheme="majorHAnsi"/>
          <w:spacing w:val="-2"/>
          <w:lang w:val="nl-NL"/>
        </w:rPr>
        <w:t>Tuyên Quang (trước hợp nhất) để áp dụng trên phạm vi tỉnh Tuyên Quang (sau sắp xếp) là không hợp lý, bộc lộ bất cập, hạn chế về phạm vi điều chỉnh, đối tượng áp dụng trong tổ chức thi hành trên địa bàn tỉnh Tuyên Quang mới.</w:t>
      </w:r>
    </w:p>
    <w:bookmarkEnd w:id="2"/>
    <w:p w14:paraId="61038C0E" w14:textId="1882F2B4" w:rsidR="006E53C6" w:rsidRPr="007D651C" w:rsidRDefault="00956926" w:rsidP="006E53C6">
      <w:pPr>
        <w:spacing w:before="60" w:after="60"/>
        <w:ind w:firstLine="720"/>
        <w:jc w:val="both"/>
        <w:rPr>
          <w:rFonts w:ascii="Times New Roman" w:hAnsi="Times New Roman" w:cstheme="majorHAnsi"/>
          <w:b/>
          <w:lang w:val="nl-NL"/>
        </w:rPr>
      </w:pPr>
      <w:r w:rsidRPr="007D651C">
        <w:rPr>
          <w:rFonts w:ascii="Times New Roman" w:hAnsi="Times New Roman" w:cstheme="majorHAnsi"/>
          <w:b/>
          <w:lang w:val="nl-NL"/>
        </w:rPr>
        <w:t>4</w:t>
      </w:r>
      <w:r w:rsidR="006E53C6" w:rsidRPr="007D651C">
        <w:rPr>
          <w:rFonts w:ascii="Times New Roman" w:hAnsi="Times New Roman" w:cstheme="majorHAnsi"/>
          <w:b/>
          <w:lang w:val="nl-NL"/>
        </w:rPr>
        <w:t>. Khó khăn, vướng mắc và nguyên nhân</w:t>
      </w:r>
    </w:p>
    <w:p w14:paraId="3EAE1385" w14:textId="3125A004" w:rsidR="00956926" w:rsidRPr="007D651C" w:rsidRDefault="00956926" w:rsidP="006E53C6">
      <w:pPr>
        <w:spacing w:before="60" w:after="60"/>
        <w:ind w:firstLine="720"/>
        <w:jc w:val="both"/>
        <w:rPr>
          <w:rFonts w:ascii="Times New Roman" w:hAnsi="Times New Roman" w:cstheme="majorHAnsi"/>
          <w:b/>
          <w:bCs/>
          <w:i/>
          <w:iCs/>
        </w:rPr>
      </w:pPr>
      <w:r w:rsidRPr="007D651C">
        <w:rPr>
          <w:rFonts w:ascii="Times New Roman" w:hAnsi="Times New Roman" w:cstheme="majorHAnsi"/>
          <w:b/>
          <w:bCs/>
          <w:i/>
          <w:iCs/>
        </w:rPr>
        <w:t xml:space="preserve">4.1. </w:t>
      </w:r>
      <w:r w:rsidRPr="007D651C">
        <w:rPr>
          <w:rFonts w:ascii="Times New Roman" w:hAnsi="Times New Roman" w:cstheme="majorHAnsi"/>
          <w:b/>
          <w:bCs/>
          <w:i/>
          <w:iCs/>
          <w:lang w:val="nl-NL"/>
        </w:rPr>
        <w:t>Khó khăn, vướng mắc</w:t>
      </w:r>
    </w:p>
    <w:p w14:paraId="54A9618A" w14:textId="52022110"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7D651C">
        <w:rPr>
          <w:rFonts w:ascii="Times New Roman" w:eastAsia="Times New Roman" w:hAnsi="Times New Roman"/>
        </w:rPr>
        <w:t xml:space="preserve">- Chính sách thu hút nguồn nhân lực chưa phát huy tác dụng đối với các chuyên gia đầu ngành, chưa thu hút được những người có học hàm, học vị cao là các giáo sư, tiến sĩ về công tác lâu dài tại tỉnh. Đối tượng thu hút về tỉnh công tác chủ yếu là sinh viên tốt nghiệp loại giỏi, xuất sắc các ngành sư phạm ở các trường </w:t>
      </w:r>
      <w:r w:rsidR="00D9019C">
        <w:rPr>
          <w:rFonts w:ascii="Times New Roman" w:eastAsia="Times New Roman" w:hAnsi="Times New Roman"/>
        </w:rPr>
        <w:t>thuộc tỉnh</w:t>
      </w:r>
      <w:r w:rsidRPr="007D651C">
        <w:rPr>
          <w:rFonts w:ascii="Times New Roman" w:eastAsia="Times New Roman" w:hAnsi="Times New Roman"/>
        </w:rPr>
        <w:t>, chưa có bề dầy thành tích (trường Đại học Tân Trào, trường Đại học Hùng Vương...), thu hút được ít sinh viên tốt nghiệp đại học loại giỏi, xuất sắc ở các trường đại học uy tín, hàng đầu trong nước và chưa thu hút được sinh viên tốt nghiệp loại giỏi, xuất sắc tốt nghiệp các trường ở nước ngoài, những người có học hàm, học vị cao như: Giáo sư, Tiến sĩ.</w:t>
      </w:r>
    </w:p>
    <w:p w14:paraId="010FC5A6" w14:textId="59CBA80C"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spacing w:val="-4"/>
        </w:rPr>
      </w:pPr>
      <w:r w:rsidRPr="007D651C">
        <w:rPr>
          <w:rFonts w:ascii="Times New Roman" w:eastAsia="Times New Roman" w:hAnsi="Times New Roman"/>
          <w:spacing w:val="-4"/>
        </w:rPr>
        <w:t xml:space="preserve">- Còn một số công chức, viên chức thuộc diện thu hút nguồn nhân lực và diện được hưởng chính sách hỗ trợ đi đào tạo nâng cao trình độ sau đại học chưa phát huy </w:t>
      </w:r>
      <w:r w:rsidRPr="007D651C">
        <w:rPr>
          <w:rFonts w:ascii="Times New Roman" w:eastAsia="Times New Roman" w:hAnsi="Times New Roman"/>
          <w:spacing w:val="-4"/>
        </w:rPr>
        <w:lastRenderedPageBreak/>
        <w:t>được hiệu quả trong công tác chuyên môn được giao, chưa có những đề xuất, tham mưu nổi trội so với yêu cầu của vị trí việc làm được phân công đảm nhận.</w:t>
      </w:r>
    </w:p>
    <w:p w14:paraId="551E34F7" w14:textId="744FF989"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7D651C">
        <w:rPr>
          <w:rFonts w:ascii="Times New Roman" w:eastAsia="Times New Roman" w:hAnsi="Times New Roman"/>
        </w:rPr>
        <w:t xml:space="preserve">- Một số cán bộ, công chức, viên chức chưa thực sự phát huy được kiến thức, kỹ năng đã tiếp thu vào thực tiễn công tác. Phần lớn người học chỉ dừng lại ở việc hoàn thành chương trình đào tạo mà chưa có sự đổi mới, sáng tạo trong quá trình làm việc, chưa đề xuất được sáng kiến hay giải pháp cụ thể nhằm nâng cao hiệu quả công việc tại cơ quan, đơn vị. Điều này làm giảm tính thiết thực của chính sách hỗ trợ đào tạo sau đại học, đồng thời chưa đáp ứng được kỳ vọng về việc tạo ra nguồn nhân lực chất lượng cao, có khả năng đóng góp tích cực cho quá trình cải cách hành chính và phát triển </w:t>
      </w:r>
      <w:r w:rsidR="002A5DD6">
        <w:rPr>
          <w:rFonts w:ascii="Times New Roman" w:eastAsia="Times New Roman" w:hAnsi="Times New Roman"/>
        </w:rPr>
        <w:t xml:space="preserve">kinh tế - xã hội </w:t>
      </w:r>
      <w:r w:rsidRPr="007D651C">
        <w:rPr>
          <w:rFonts w:ascii="Times New Roman" w:eastAsia="Times New Roman" w:hAnsi="Times New Roman"/>
        </w:rPr>
        <w:t>của địa phương.</w:t>
      </w:r>
    </w:p>
    <w:p w14:paraId="02E2C266" w14:textId="77777777"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7D651C">
        <w:rPr>
          <w:rFonts w:ascii="Times New Roman" w:eastAsia="Times New Roman" w:hAnsi="Times New Roman"/>
        </w:rPr>
        <w:t>- Một số cơ quan, đơn vị chậm làm thủ tục hỗ trợ kinh phí cho các đối tượng thuộc diện thu hút nguồn nhân lực, hỗ trợ đào tạo sau đại học.</w:t>
      </w:r>
    </w:p>
    <w:p w14:paraId="504879C0" w14:textId="1D8DE60D" w:rsidR="003744F6" w:rsidRPr="007D651C" w:rsidRDefault="005617BE"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bCs/>
          <w:i/>
          <w:iCs/>
        </w:rPr>
      </w:pPr>
      <w:r w:rsidRPr="007D651C">
        <w:rPr>
          <w:rFonts w:ascii="Times New Roman" w:eastAsia="Times New Roman" w:hAnsi="Times New Roman"/>
          <w:b/>
          <w:bCs/>
          <w:i/>
          <w:iCs/>
        </w:rPr>
        <w:t>4</w:t>
      </w:r>
      <w:r w:rsidR="00956926" w:rsidRPr="007D651C">
        <w:rPr>
          <w:rFonts w:ascii="Times New Roman" w:eastAsia="Times New Roman" w:hAnsi="Times New Roman"/>
          <w:b/>
          <w:bCs/>
          <w:i/>
          <w:iCs/>
        </w:rPr>
        <w:t>.2</w:t>
      </w:r>
      <w:r w:rsidR="003744F6" w:rsidRPr="007D651C">
        <w:rPr>
          <w:rFonts w:ascii="Times New Roman" w:eastAsia="Times New Roman" w:hAnsi="Times New Roman"/>
          <w:b/>
          <w:bCs/>
          <w:i/>
          <w:iCs/>
        </w:rPr>
        <w:t>. Nguyên nhân</w:t>
      </w:r>
    </w:p>
    <w:p w14:paraId="0773AB86" w14:textId="77777777"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7D651C">
        <w:rPr>
          <w:rFonts w:ascii="Times New Roman" w:eastAsia="Times New Roman" w:hAnsi="Times New Roman"/>
        </w:rPr>
        <w:t>- Tuyên Quang là tỉnh miền núi điều kiện kinh tế - xã hội còn nhiều khó khăn, cơ sở hạ tầng phục vụ trong công tác còn hạn chế, chưa đồng bộ; môi trường làm việc chưa thật sự hấp dẫn; cơ hội tiếp cận với những thành tựu khoa học tiên tiến để phục vụ cho công tác chuyên môn của đội ngũ cán bộ, công chức, viên chức còn nhiều khó khăn.</w:t>
      </w:r>
    </w:p>
    <w:p w14:paraId="7B87E5F4" w14:textId="77777777"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7D651C">
        <w:rPr>
          <w:rFonts w:ascii="Times New Roman" w:eastAsia="Times New Roman" w:hAnsi="Times New Roman"/>
        </w:rPr>
        <w:t>- Người đứng đầu của một số cơ quan, đơn vị chưa thật sự quan tâm đến công tác đào tạo, bồi dưỡng đối với cán bộ, công chức, viên chức; năng lực chuyên môm của một số cán bộ, công chức, viên chức được giao thực hiện chính sách còn hạn chế, chưa chủ động, tích cực nghiên cứu, tham mưu thực hiện chính sách.</w:t>
      </w:r>
    </w:p>
    <w:p w14:paraId="598F75B5" w14:textId="2AFFCD27" w:rsidR="00956926" w:rsidRPr="007D651C" w:rsidRDefault="008209B4" w:rsidP="008209B4">
      <w:pPr>
        <w:tabs>
          <w:tab w:val="left" w:pos="900"/>
        </w:tabs>
        <w:spacing w:before="120"/>
        <w:ind w:firstLine="567"/>
        <w:jc w:val="both"/>
        <w:rPr>
          <w:rFonts w:ascii="Times New Roman" w:hAnsi="Times New Roman"/>
          <w:lang w:val="nl-NL"/>
        </w:rPr>
      </w:pPr>
      <w:r w:rsidRPr="007D651C">
        <w:rPr>
          <w:rFonts w:ascii="Times New Roman" w:hAnsi="Times New Roman"/>
          <w:lang w:val="nl-NL"/>
        </w:rPr>
        <w:t xml:space="preserve">- Môi trường, điều kiện làm việc của tỉnh chưa đủ sức hấp dẫn để thu hút những người có trình độ cao về công tác lâu dài tại tỉnh. </w:t>
      </w:r>
      <w:r w:rsidR="003744F6" w:rsidRPr="007D651C">
        <w:rPr>
          <w:rFonts w:ascii="Times New Roman" w:eastAsia="Times New Roman" w:hAnsi="Times New Roman"/>
        </w:rPr>
        <w:t>Thời gian về công tác tại cơ quan, đơn vị sau khi được thu hút còn ngắn (từ 01 đến 03 năm), còn thiếu kinh nghiệm thực tế trong công tác nên chưa đánh giá được năng lực của người được thu hút.</w:t>
      </w:r>
    </w:p>
    <w:p w14:paraId="6FA383A8" w14:textId="2EE04794" w:rsidR="00956926" w:rsidRPr="007D651C" w:rsidRDefault="005617BE" w:rsidP="00956926">
      <w:pPr>
        <w:spacing w:before="60" w:after="60"/>
        <w:ind w:firstLine="720"/>
        <w:jc w:val="both"/>
        <w:rPr>
          <w:rFonts w:ascii="Times New Roman" w:hAnsi="Times New Roman" w:cstheme="majorHAnsi"/>
          <w:b/>
          <w:lang w:val="nl-NL"/>
        </w:rPr>
      </w:pPr>
      <w:r w:rsidRPr="007D651C">
        <w:rPr>
          <w:rFonts w:ascii="Times New Roman" w:hAnsi="Times New Roman" w:cstheme="majorHAnsi"/>
          <w:b/>
          <w:lang w:val="nl-NL"/>
        </w:rPr>
        <w:t>5</w:t>
      </w:r>
      <w:r w:rsidR="00956926" w:rsidRPr="007D651C">
        <w:rPr>
          <w:rFonts w:ascii="Times New Roman" w:hAnsi="Times New Roman" w:cstheme="majorHAnsi"/>
          <w:b/>
          <w:lang w:val="nl-NL"/>
        </w:rPr>
        <w:t>. Xác định những vấn đề mới phát sinh trong thực tiễn</w:t>
      </w:r>
    </w:p>
    <w:p w14:paraId="4A8091EB" w14:textId="790301D9" w:rsidR="00813F14" w:rsidRPr="007D651C" w:rsidRDefault="007C5972" w:rsidP="00813F14">
      <w:pPr>
        <w:spacing w:before="60" w:after="60"/>
        <w:ind w:firstLine="720"/>
        <w:jc w:val="both"/>
        <w:rPr>
          <w:rFonts w:ascii="Times New Roman" w:hAnsi="Times New Roman" w:cstheme="majorHAnsi"/>
          <w:lang w:val="nl-NL"/>
        </w:rPr>
      </w:pPr>
      <w:r w:rsidRPr="007D651C">
        <w:rPr>
          <w:rFonts w:ascii="Times New Roman" w:hAnsi="Times New Roman" w:cstheme="majorHAnsi"/>
          <w:lang w:val="nl-NL"/>
        </w:rPr>
        <w:t>Qua thực tiễn tổ chức thực hiện có những</w:t>
      </w:r>
      <w:r w:rsidR="00813F14" w:rsidRPr="007D651C">
        <w:rPr>
          <w:rFonts w:ascii="Times New Roman" w:hAnsi="Times New Roman" w:cstheme="majorHAnsi"/>
          <w:lang w:val="nl-NL"/>
        </w:rPr>
        <w:t xml:space="preserve"> vấn đề mới phát sinh trong thực tiễn, cụ thể như sau:</w:t>
      </w:r>
      <w:r w:rsidRPr="007D651C">
        <w:rPr>
          <w:rFonts w:ascii="Times New Roman" w:hAnsi="Times New Roman" w:cstheme="majorHAnsi"/>
          <w:lang w:val="nl-NL"/>
        </w:rPr>
        <w:t xml:space="preserve"> </w:t>
      </w:r>
    </w:p>
    <w:p w14:paraId="036ACC16" w14:textId="4405A908" w:rsidR="00813F14" w:rsidRPr="007D651C" w:rsidRDefault="00813F14" w:rsidP="000947B6">
      <w:pPr>
        <w:shd w:val="clear" w:color="auto" w:fill="FFFFFF"/>
        <w:spacing w:before="120" w:after="120" w:line="300" w:lineRule="exact"/>
        <w:ind w:firstLine="720"/>
        <w:jc w:val="both"/>
        <w:rPr>
          <w:rFonts w:ascii="Times New Roman" w:hAnsi="Times New Roman"/>
        </w:rPr>
      </w:pPr>
      <w:r w:rsidRPr="007D651C">
        <w:rPr>
          <w:rFonts w:ascii="Times New Roman" w:eastAsia="Times New Roman" w:hAnsi="Times New Roman"/>
          <w:lang w:val="nl-NL"/>
        </w:rPr>
        <w:t>- 0</w:t>
      </w:r>
      <w:r w:rsidR="000947B6" w:rsidRPr="007D651C">
        <w:rPr>
          <w:rFonts w:ascii="Times New Roman" w:eastAsia="Times New Roman" w:hAnsi="Times New Roman"/>
          <w:lang w:val="nl-NL"/>
        </w:rPr>
        <w:t>6</w:t>
      </w:r>
      <w:r w:rsidRPr="007D651C">
        <w:rPr>
          <w:rFonts w:ascii="Times New Roman" w:eastAsia="Times New Roman" w:hAnsi="Times New Roman"/>
          <w:lang w:val="nl-NL"/>
        </w:rPr>
        <w:t>/11 văn bản quy phạm pháp luật là căn cứ ban hành Nghị quyết đã được thay thế</w:t>
      </w:r>
      <w:r w:rsidRPr="007D651C">
        <w:rPr>
          <w:rFonts w:ascii="Times New Roman" w:eastAsia="Times New Roman" w:hAnsi="Times New Roman"/>
          <w:lang w:val="nl-NL" w:eastAsia="vi-VN"/>
        </w:rPr>
        <w:t xml:space="preserve">, gồm: (1) Luật Tổ chức chính quyền địa phương ngày 19 tháng 6 năm 2015; Luật Sửa đổi, bổ sung một số điều của Luật Tổ chức Chính phủ và Luật Tổ chức chính quyền địa phương ngày 22 tháng 11 năm 2019 đã được thay thế bằng Luật </w:t>
      </w:r>
      <w:r w:rsidR="000947B6" w:rsidRPr="007D651C">
        <w:rPr>
          <w:rFonts w:ascii="Times New Roman" w:eastAsia="Times New Roman" w:hAnsi="Times New Roman"/>
          <w:lang w:val="nl-NL" w:eastAsia="vi-VN"/>
        </w:rPr>
        <w:t xml:space="preserve">Tổ chức chính quyền địa phương ngày 16/6/2025; Luật Tổ chức Chính phủ ngày 18/02/2025; </w:t>
      </w:r>
      <w:r w:rsidRPr="007D651C">
        <w:rPr>
          <w:rFonts w:ascii="Times New Roman" w:eastAsia="Times New Roman" w:hAnsi="Times New Roman"/>
          <w:lang w:val="nl-NL" w:eastAsia="vi-VN"/>
        </w:rPr>
        <w:t xml:space="preserve">(2) Luật Ban hành văn bản quy phạm pháp luật ngày 22 tháng 6 năm 2015; Luật Sửa đổi, bổ sung một số điều của Luật Ban hành văn bản quy phạm pháp luật ngày 18 tháng 6 năm 2020 đã được thay thế bằng </w:t>
      </w:r>
      <w:r w:rsidR="000947B6" w:rsidRPr="007D651C">
        <w:rPr>
          <w:rFonts w:ascii="Times New Roman" w:hAnsi="Times New Roman"/>
        </w:rPr>
        <w:t xml:space="preserve">Luật Ban hành văn bản quy phạm pháp luật số 64/2025/QH15; Luật sửa đổi, bổ sung một số điều của Luật Ban hành văn bản quy phạm pháp luật số 87/2025/QH15; </w:t>
      </w:r>
      <w:r w:rsidRPr="007D651C">
        <w:rPr>
          <w:rFonts w:ascii="Times New Roman" w:eastAsia="Times New Roman" w:hAnsi="Times New Roman"/>
          <w:lang w:val="nl-NL" w:eastAsia="vi-VN"/>
        </w:rPr>
        <w:t xml:space="preserve">(3) Luật Cán bộ, công chức ngày 13 tháng 11 năm 2008; Luật Sửa đổi, bổ sung một số điều của Luật Cán bộ, công chức và Luật Viên chức ngày 25 tháng 11 năm 2019 đã được </w:t>
      </w:r>
      <w:r w:rsidRPr="007D651C">
        <w:rPr>
          <w:rFonts w:ascii="Times New Roman" w:eastAsia="Times New Roman" w:hAnsi="Times New Roman"/>
          <w:lang w:val="nl-NL" w:eastAsia="vi-VN"/>
        </w:rPr>
        <w:lastRenderedPageBreak/>
        <w:t xml:space="preserve">thay thế bằng </w:t>
      </w:r>
      <w:r w:rsidR="000947B6" w:rsidRPr="007D651C">
        <w:rPr>
          <w:rFonts w:ascii="Times New Roman" w:eastAsia="Times New Roman" w:hAnsi="Times New Roman"/>
          <w:lang w:val="nl-NL" w:eastAsia="vi-VN"/>
        </w:rPr>
        <w:t>Luật cán bộ, công chức ngày 24</w:t>
      </w:r>
      <w:r w:rsidR="00A17466">
        <w:rPr>
          <w:rFonts w:ascii="Times New Roman" w:eastAsia="Times New Roman" w:hAnsi="Times New Roman"/>
          <w:lang w:val="nl-NL" w:eastAsia="vi-VN"/>
        </w:rPr>
        <w:t xml:space="preserve"> tháng </w:t>
      </w:r>
      <w:r w:rsidR="000947B6" w:rsidRPr="007D651C">
        <w:rPr>
          <w:rFonts w:ascii="Times New Roman" w:eastAsia="Times New Roman" w:hAnsi="Times New Roman"/>
          <w:lang w:val="nl-NL" w:eastAsia="vi-VN"/>
        </w:rPr>
        <w:t>6</w:t>
      </w:r>
      <w:r w:rsidR="00A17466">
        <w:rPr>
          <w:rFonts w:ascii="Times New Roman" w:eastAsia="Times New Roman" w:hAnsi="Times New Roman"/>
          <w:lang w:val="nl-NL" w:eastAsia="vi-VN"/>
        </w:rPr>
        <w:t xml:space="preserve"> năm </w:t>
      </w:r>
      <w:r w:rsidR="000947B6" w:rsidRPr="007D651C">
        <w:rPr>
          <w:rFonts w:ascii="Times New Roman" w:eastAsia="Times New Roman" w:hAnsi="Times New Roman"/>
          <w:lang w:val="nl-NL" w:eastAsia="vi-VN"/>
        </w:rPr>
        <w:t>2025; (</w:t>
      </w:r>
      <w:r w:rsidRPr="007D651C">
        <w:rPr>
          <w:rFonts w:ascii="Times New Roman" w:eastAsia="Times New Roman" w:hAnsi="Times New Roman"/>
          <w:lang w:val="nl-NL" w:eastAsia="vi-VN"/>
        </w:rPr>
        <w:t>4) Nghị định số 101/2017/NĐ-CP ngày 01 tháng 9 năm 2017 của Chính phủ về đào tạo bồi dưỡng cán bộ, công chức, viên chức; Nghị định số 89/2021/NĐ-CP ngày 18 tháng 10 năm 2021 của Chính phủ Sửa đổi, bổ sung một số điều Nghị định số 101/2017/NĐ-CP ngày 01 tháng 9 năm 2017 của Chính phủ về đào tạo bồi dưỡng cán bộ, công chức, viên chức</w:t>
      </w:r>
      <w:r w:rsidR="00A17466">
        <w:rPr>
          <w:rFonts w:ascii="Times New Roman" w:eastAsia="Times New Roman" w:hAnsi="Times New Roman"/>
          <w:lang w:val="nl-NL" w:eastAsia="vi-VN"/>
        </w:rPr>
        <w:t xml:space="preserve"> những quy định về đào tạo, bồi dưỡng đối với công chức được bãi bỏ</w:t>
      </w:r>
      <w:r w:rsidR="007C04FD">
        <w:rPr>
          <w:rFonts w:ascii="Times New Roman" w:eastAsia="Times New Roman" w:hAnsi="Times New Roman"/>
          <w:lang w:val="nl-NL" w:eastAsia="vi-VN"/>
        </w:rPr>
        <w:t xml:space="preserve"> bằng</w:t>
      </w:r>
      <w:r w:rsidR="000947B6" w:rsidRPr="007D651C">
        <w:rPr>
          <w:rFonts w:ascii="Times New Roman" w:eastAsia="Times New Roman" w:hAnsi="Times New Roman"/>
          <w:lang w:val="nl-NL" w:eastAsia="vi-VN"/>
        </w:rPr>
        <w:t xml:space="preserve"> Nghị định số 171/2025/NĐ-CP ngày 30/6/2025; </w:t>
      </w:r>
      <w:r w:rsidRPr="007D651C">
        <w:rPr>
          <w:rFonts w:ascii="Times New Roman" w:eastAsia="Times New Roman" w:hAnsi="Times New Roman"/>
          <w:lang w:val="nl-NL" w:eastAsia="vi-VN"/>
        </w:rPr>
        <w:t xml:space="preserve">(5) Nghị định số 140/2017/NĐ-CP ngày 05 tháng 12 năm 2017 của Chính phủ </w:t>
      </w:r>
      <w:r w:rsidR="000947B6" w:rsidRPr="007D651C">
        <w:rPr>
          <w:rFonts w:ascii="Times New Roman" w:eastAsia="Times New Roman" w:hAnsi="Times New Roman"/>
          <w:lang w:val="nl-NL" w:eastAsia="vi-VN"/>
        </w:rPr>
        <w:t>v</w:t>
      </w:r>
      <w:r w:rsidRPr="007D651C">
        <w:rPr>
          <w:rFonts w:ascii="Times New Roman" w:eastAsia="Times New Roman" w:hAnsi="Times New Roman"/>
          <w:lang w:val="nl-NL" w:eastAsia="vi-VN"/>
        </w:rPr>
        <w:t>ề chính sách thu hút tạo nguồn cán bộ từ sinh viên tốt nghiệp xuất sắc, cán bộ khoa học trẻ</w:t>
      </w:r>
      <w:r w:rsidR="000947B6" w:rsidRPr="007D651C">
        <w:rPr>
          <w:rFonts w:ascii="Times New Roman" w:eastAsia="Times New Roman" w:hAnsi="Times New Roman"/>
          <w:lang w:val="nl-NL" w:eastAsia="vi-VN"/>
        </w:rPr>
        <w:t xml:space="preserve"> đã được thay thế bằng </w:t>
      </w:r>
      <w:r w:rsidR="000947B6" w:rsidRPr="007D651C">
        <w:rPr>
          <w:rFonts w:ascii="Times New Roman" w:hAnsi="Times New Roman"/>
          <w:iCs/>
          <w:szCs w:val="22"/>
          <w:lang w:val="nl-NL"/>
        </w:rPr>
        <w:t>Nghị định số 179/2024/NĐ-CP ngày 31/12/2024</w:t>
      </w:r>
      <w:r w:rsidRPr="007D651C">
        <w:rPr>
          <w:rFonts w:ascii="Times New Roman" w:eastAsia="Times New Roman" w:hAnsi="Times New Roman"/>
          <w:lang w:val="nl-NL" w:eastAsia="vi-VN"/>
        </w:rPr>
        <w:t>;</w:t>
      </w:r>
      <w:r w:rsidR="000947B6" w:rsidRPr="007D651C">
        <w:rPr>
          <w:rFonts w:ascii="Times New Roman" w:eastAsia="Times New Roman" w:hAnsi="Times New Roman"/>
          <w:lang w:val="nl-NL" w:eastAsia="vi-VN"/>
        </w:rPr>
        <w:t xml:space="preserve"> </w:t>
      </w:r>
      <w:r w:rsidRPr="007D651C">
        <w:rPr>
          <w:rFonts w:ascii="Times New Roman" w:eastAsia="Times New Roman" w:hAnsi="Times New Roman"/>
        </w:rPr>
        <w:t xml:space="preserve">(6) </w:t>
      </w:r>
      <w:r w:rsidRPr="007D651C">
        <w:rPr>
          <w:rFonts w:ascii="Times New Roman" w:eastAsia="Times New Roman" w:hAnsi="Times New Roman"/>
          <w:lang w:val="nl-NL" w:eastAsia="vi-VN"/>
        </w:rPr>
        <w:t>Nghị định số 138/2020/NĐ-CP ngày 27 tháng 11 năm 2020 của Chính phủ Quy định về tuyển dụng, sử dụng và quản lý công chức</w:t>
      </w:r>
      <w:r w:rsidR="000947B6" w:rsidRPr="007D651C">
        <w:rPr>
          <w:rFonts w:ascii="Times New Roman" w:eastAsia="Times New Roman" w:hAnsi="Times New Roman"/>
          <w:lang w:val="nl-NL" w:eastAsia="vi-VN"/>
        </w:rPr>
        <w:t xml:space="preserve"> được thay thế bằng Nghị định số 170/2025/NĐ-CP ngày 30/6/2025; </w:t>
      </w:r>
    </w:p>
    <w:p w14:paraId="1EE94361" w14:textId="269698F2" w:rsidR="008209B4" w:rsidRPr="007D651C" w:rsidRDefault="00813F14" w:rsidP="00813F14">
      <w:pPr>
        <w:spacing w:before="60" w:after="60"/>
        <w:ind w:firstLine="720"/>
        <w:jc w:val="both"/>
        <w:rPr>
          <w:rFonts w:ascii="Times New Roman" w:hAnsi="Times New Roman" w:cstheme="majorHAnsi"/>
          <w:lang w:val="nl-NL"/>
        </w:rPr>
      </w:pPr>
      <w:r w:rsidRPr="007D651C">
        <w:rPr>
          <w:rFonts w:ascii="Times New Roman" w:hAnsi="Times New Roman" w:cstheme="majorHAnsi"/>
          <w:lang w:val="nl-NL"/>
        </w:rPr>
        <w:t>- Tỉnh</w:t>
      </w:r>
      <w:r w:rsidR="00C233C7" w:rsidRPr="007D651C">
        <w:rPr>
          <w:rFonts w:ascii="Times New Roman" w:hAnsi="Times New Roman" w:cstheme="majorHAnsi"/>
          <w:lang w:val="nl-NL"/>
        </w:rPr>
        <w:t xml:space="preserve"> Hà Giang </w:t>
      </w:r>
      <w:r w:rsidRPr="007D651C">
        <w:rPr>
          <w:rFonts w:ascii="Times New Roman" w:hAnsi="Times New Roman" w:cstheme="majorHAnsi"/>
          <w:lang w:val="nl-NL"/>
        </w:rPr>
        <w:t xml:space="preserve">(trước hợp nhất) </w:t>
      </w:r>
      <w:bookmarkStart w:id="4" w:name="_Hlk213419338"/>
      <w:r w:rsidR="00C233C7" w:rsidRPr="007D651C">
        <w:rPr>
          <w:rFonts w:ascii="Times New Roman" w:hAnsi="Times New Roman" w:cstheme="majorHAnsi"/>
          <w:lang w:val="nl-NL"/>
        </w:rPr>
        <w:t xml:space="preserve">chưa ban hành </w:t>
      </w:r>
      <w:r w:rsidR="00C233C7" w:rsidRPr="007D651C">
        <w:rPr>
          <w:rFonts w:ascii="Times New Roman" w:eastAsia="Times New Roman" w:hAnsi="Times New Roman"/>
          <w:lang w:val="vi-VN"/>
        </w:rPr>
        <w:t>chính sách thu hút nguồn nhân lực, hỗ trợ đào tạo sau đại học</w:t>
      </w:r>
      <w:r w:rsidR="007C04FD">
        <w:rPr>
          <w:rFonts w:ascii="Times New Roman" w:eastAsia="Times New Roman" w:hAnsi="Times New Roman"/>
        </w:rPr>
        <w:t>, nâng cao trình đọ ngoại ngữ</w:t>
      </w:r>
      <w:r w:rsidR="00C233C7" w:rsidRPr="007D651C">
        <w:rPr>
          <w:rFonts w:ascii="Times New Roman" w:eastAsia="Times New Roman" w:hAnsi="Times New Roman"/>
          <w:lang w:val="vi-VN"/>
        </w:rPr>
        <w:t xml:space="preserve"> trên địa bàn tỉnh</w:t>
      </w:r>
      <w:r w:rsidRPr="007D651C">
        <w:rPr>
          <w:rFonts w:ascii="Times New Roman" w:eastAsia="Times New Roman" w:hAnsi="Times New Roman"/>
        </w:rPr>
        <w:t xml:space="preserve">, do </w:t>
      </w:r>
      <w:r w:rsidRPr="007D651C">
        <w:rPr>
          <w:rFonts w:ascii="Times New Roman" w:hAnsi="Times New Roman" w:cstheme="majorHAnsi"/>
          <w:lang w:val="nl-NL"/>
        </w:rPr>
        <w:t>vậy, việc tiếp tục thi hành văn bản quy phạm pháp luật của Hội đông nhân dân tỉnh Tuyên Quang (trước hợp nhất) để áp dụng trên phạm vi tỉnh Tuyên Quang (sau sắp xếp) là không hợp lý về phạm vi điều chỉnh, đối tượng áp dụng trong tổ chức thi hành trên địa bàn tỉnh Tuyên Quang mới.</w:t>
      </w:r>
    </w:p>
    <w:p w14:paraId="2F2567A8" w14:textId="03CB9E1B" w:rsidR="00956926" w:rsidRPr="007D651C" w:rsidRDefault="00813F14" w:rsidP="008209B4">
      <w:pPr>
        <w:pStyle w:val="BodyText2"/>
        <w:spacing w:before="120" w:after="0" w:line="240" w:lineRule="auto"/>
        <w:ind w:firstLine="720"/>
        <w:jc w:val="both"/>
        <w:rPr>
          <w:lang w:val="nl-NL"/>
        </w:rPr>
      </w:pPr>
      <w:r w:rsidRPr="007D651C">
        <w:rPr>
          <w:lang w:val="nl-NL"/>
        </w:rPr>
        <w:t xml:space="preserve">- </w:t>
      </w:r>
      <w:r w:rsidR="008209B4" w:rsidRPr="007D651C">
        <w:rPr>
          <w:lang w:val="nl-NL"/>
        </w:rPr>
        <w:t xml:space="preserve">Chưa có chính sách trọng dụng người có tài năng </w:t>
      </w:r>
      <w:r w:rsidR="00C32DA0">
        <w:rPr>
          <w:lang w:val="nl-NL"/>
        </w:rPr>
        <w:t>trong thực thi công vụ theo các quy định của Trung ương, do</w:t>
      </w:r>
      <w:r w:rsidR="008209B4" w:rsidRPr="007D651C">
        <w:rPr>
          <w:lang w:val="nl-NL"/>
        </w:rPr>
        <w:t xml:space="preserve"> đó cần có quy định chính sách trọng dụng người có tài tăng giúp nâng cao chất lượng đội ngũ cán bộ, công chức thúc đẩy tinh thần làm việc chuyên nghiệp, hiệu quả đáp ứng yêu cầu chuyển đổi mô hình tăng trưởng, chuyển đổi số và hội nhập.</w:t>
      </w:r>
    </w:p>
    <w:bookmarkEnd w:id="4"/>
    <w:p w14:paraId="1DA4BBE2" w14:textId="1B13B59D" w:rsidR="003744F6" w:rsidRPr="007D651C" w:rsidRDefault="005617BE" w:rsidP="00956926">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b/>
          <w:lang w:val="nl-NL"/>
        </w:rPr>
      </w:pPr>
      <w:r w:rsidRPr="007D651C">
        <w:rPr>
          <w:rFonts w:ascii="Times New Roman" w:eastAsia="Times New Roman" w:hAnsi="Times New Roman"/>
          <w:b/>
          <w:lang w:val="nl-NL"/>
        </w:rPr>
        <w:t>III</w:t>
      </w:r>
      <w:r w:rsidR="003744F6" w:rsidRPr="007D651C">
        <w:rPr>
          <w:rFonts w:ascii="Times New Roman" w:eastAsia="Times New Roman" w:hAnsi="Times New Roman"/>
          <w:b/>
          <w:lang w:val="nl-NL"/>
        </w:rPr>
        <w:t xml:space="preserve">. </w:t>
      </w:r>
      <w:r w:rsidRPr="007D651C">
        <w:rPr>
          <w:rFonts w:ascii="Times New Roman" w:eastAsia="Times New Roman" w:hAnsi="Times New Roman"/>
          <w:b/>
          <w:lang w:val="nl-NL"/>
        </w:rPr>
        <w:t>ĐỀ XUẤT, KIẾN NGHỊ</w:t>
      </w:r>
    </w:p>
    <w:p w14:paraId="0DD5D2F7" w14:textId="5442491F" w:rsidR="00F46468" w:rsidRPr="007D651C" w:rsidRDefault="00446E81" w:rsidP="00446E81">
      <w:pPr>
        <w:tabs>
          <w:tab w:val="left" w:pos="900"/>
        </w:tabs>
        <w:spacing w:before="120" w:after="120"/>
        <w:ind w:firstLine="720"/>
        <w:jc w:val="both"/>
        <w:rPr>
          <w:rFonts w:ascii="Times New Roman" w:hAnsi="Times New Roman"/>
        </w:rPr>
      </w:pPr>
      <w:bookmarkStart w:id="5" w:name="_Hlk213421726"/>
      <w:r w:rsidRPr="007D651C">
        <w:rPr>
          <w:rFonts w:ascii="Times New Roman" w:hAnsi="Times New Roman"/>
        </w:rPr>
        <w:t xml:space="preserve">Nhằm cụ thể hóa nhiệm vụ được Chính phủ giao tại </w:t>
      </w:r>
      <w:r w:rsidRPr="007D651C">
        <w:rPr>
          <w:rFonts w:ascii="Times New Roman" w:eastAsia="Times New Roman" w:hAnsi="Times New Roman"/>
          <w:bCs/>
        </w:rPr>
        <w:t>Luật Cán bộ, công chức và các Nghị định của Chính phủ</w:t>
      </w:r>
      <w:r w:rsidRPr="007D651C">
        <w:rPr>
          <w:rFonts w:ascii="Times New Roman" w:hAnsi="Times New Roman"/>
        </w:rPr>
        <w:t xml:space="preserve"> </w:t>
      </w:r>
      <w:r w:rsidRPr="007D651C">
        <w:rPr>
          <w:rFonts w:ascii="Times New Roman" w:eastAsia="Times New Roman" w:hAnsi="Times New Roman"/>
          <w:bCs/>
        </w:rPr>
        <w:t xml:space="preserve">đảm bảo đồng bộ, thống nhất trong việc triển khai thực hiện chính sách thu hút nguồn nhân lực chất lượng cao, chính sách trọng dụng, đãi ngộ người có tài năng và chính sách hỗ trợ khác. </w:t>
      </w:r>
      <w:r w:rsidRPr="007D651C">
        <w:rPr>
          <w:rFonts w:ascii="Times New Roman" w:hAnsi="Times New Roman"/>
        </w:rPr>
        <w:t xml:space="preserve">Đồng thời, thực hiện có hiệu quả nhiệm vụ đột phá đã được Nghị quyết Đại hội Đảng bộ tỉnh Tuyên Quang lần thứ I, nhiệm kỳ 2025-2030 về </w:t>
      </w:r>
      <w:r w:rsidRPr="007D651C">
        <w:rPr>
          <w:rFonts w:ascii="Times New Roman" w:hAnsi="Times New Roman"/>
          <w:i/>
          <w:iCs/>
        </w:rPr>
        <w:t>“Phát triển toàn diện nguồn nhân lực, nhất là nguồn nhân lực chất lượng cao, trình độ cao; xây dựng đội ngũ cán bộ lãnh đạo, quản lý các cấp đáp ứng yêu cầu phát triển.…”,</w:t>
      </w:r>
      <w:bookmarkEnd w:id="5"/>
      <w:r w:rsidRPr="007D651C">
        <w:rPr>
          <w:rFonts w:ascii="Times New Roman" w:hAnsi="Times New Roman"/>
        </w:rPr>
        <w:t xml:space="preserve"> </w:t>
      </w:r>
      <w:r w:rsidR="00F46468" w:rsidRPr="007D651C">
        <w:rPr>
          <w:rFonts w:ascii="Times New Roman" w:eastAsia="Times New Roman" w:hAnsi="Times New Roman"/>
          <w:bCs/>
          <w:lang w:val="nl-NL"/>
        </w:rPr>
        <w:t>Sở Nội vụ đề nghị:</w:t>
      </w:r>
    </w:p>
    <w:p w14:paraId="0213DBDA" w14:textId="4EA4CE5F" w:rsidR="002507EF" w:rsidRPr="007D651C" w:rsidRDefault="002507EF" w:rsidP="00F46468">
      <w:pPr>
        <w:tabs>
          <w:tab w:val="left" w:pos="900"/>
        </w:tabs>
        <w:spacing w:before="120" w:after="120"/>
        <w:ind w:firstLine="720"/>
        <w:jc w:val="both"/>
        <w:rPr>
          <w:rFonts w:ascii="Times New Roman" w:hAnsi="Times New Roman"/>
        </w:rPr>
      </w:pPr>
      <w:r w:rsidRPr="007D651C">
        <w:rPr>
          <w:rFonts w:ascii="Times New Roman" w:hAnsi="Times New Roman"/>
        </w:rPr>
        <w:t xml:space="preserve">1. Hội đồng nhân dân tỉnh </w:t>
      </w:r>
      <w:r w:rsidRPr="007D651C">
        <w:rPr>
          <w:rFonts w:ascii="Times New Roman" w:hAnsi="Times New Roman"/>
          <w:lang w:val="nl-NL"/>
        </w:rPr>
        <w:t xml:space="preserve">ban hành </w:t>
      </w:r>
      <w:r w:rsidRPr="007D651C">
        <w:rPr>
          <w:rFonts w:ascii="Times New Roman" w:hAnsi="Times New Roman"/>
        </w:rPr>
        <w:t>Nghị quyết Quy định chính sách thu hút nguồn nhân lực chất lượng cao và chính sách đối với người có tài năng trong hoạt động công vụ trên địa bàn tỉnh Tuyên Quang</w:t>
      </w:r>
      <w:r w:rsidR="004930B2">
        <w:rPr>
          <w:rFonts w:ascii="Times New Roman" w:hAnsi="Times New Roman"/>
        </w:rPr>
        <w:t xml:space="preserve"> để</w:t>
      </w:r>
      <w:r w:rsidRPr="007D651C">
        <w:rPr>
          <w:rFonts w:ascii="Times New Roman" w:hAnsi="Times New Roman"/>
        </w:rPr>
        <w:t xml:space="preserve"> thay thế </w:t>
      </w:r>
      <w:r w:rsidRPr="007D651C">
        <w:rPr>
          <w:rFonts w:ascii="Times New Roman" w:hAnsi="Times New Roman"/>
          <w:lang w:val="vi-VN"/>
        </w:rPr>
        <w:t xml:space="preserve">Nghị quyết số 12/2021/NQ-HĐND </w:t>
      </w:r>
      <w:r w:rsidRPr="007D651C">
        <w:rPr>
          <w:rFonts w:ascii="Times New Roman" w:hAnsi="Times New Roman"/>
        </w:rPr>
        <w:t xml:space="preserve">ngày 20/12/2021; </w:t>
      </w:r>
      <w:r w:rsidRPr="007D651C">
        <w:rPr>
          <w:rFonts w:ascii="Times New Roman" w:hAnsi="Times New Roman"/>
          <w:lang w:val="vi-VN"/>
        </w:rPr>
        <w:t>Nghị quyết số 03/2023/NQ-HĐND</w:t>
      </w:r>
      <w:r w:rsidRPr="007D651C">
        <w:rPr>
          <w:rFonts w:ascii="Times New Roman" w:hAnsi="Times New Roman"/>
        </w:rPr>
        <w:t xml:space="preserve"> ngày 06/7/2023 của Hội đồng nhân dân tỉnh Tuyên Quang (cũ) </w:t>
      </w:r>
      <w:r w:rsidRPr="007D651C">
        <w:rPr>
          <w:rFonts w:ascii="Times New Roman" w:hAnsi="Times New Roman"/>
          <w:lang w:val="nl-NL"/>
        </w:rPr>
        <w:t xml:space="preserve">là cần thiết, phù hợp với quy định tại </w:t>
      </w:r>
      <w:r w:rsidRPr="007D651C">
        <w:rPr>
          <w:rFonts w:ascii="Times New Roman" w:hAnsi="Times New Roman"/>
        </w:rPr>
        <w:t xml:space="preserve">khoản 1, khoản 2, khoản 4 Điều 4 Luật Cán bộ, công chức; khoản 1, khoản 2 Điều 37 Nghị định số 171/2025/NĐ-CP của Chính phủ Quy định về đào tạo, bồi dưỡng công chức; khoản 2 Điều 8 Nghị định 179/2024/NĐ-CP ngày 31/12/2024 của Chính phủ Quy định chính sách thu hút, trọng dụng người có tài năng làm việc trong cơ quan, tổ chức, đơn vị của Đảng Cộng sản Việt Nam, Nhà </w:t>
      </w:r>
      <w:r w:rsidRPr="007D651C">
        <w:rPr>
          <w:rFonts w:ascii="Times New Roman" w:hAnsi="Times New Roman"/>
        </w:rPr>
        <w:lastRenderedPageBreak/>
        <w:t xml:space="preserve">nước, Mặt trận Tổ quốc Việt Nam và các tổ chức chính trị- xã hội và </w:t>
      </w:r>
      <w:r w:rsidRPr="007D651C">
        <w:rPr>
          <w:rFonts w:ascii="Times New Roman" w:hAnsi="Times New Roman"/>
          <w:lang w:val="nl-NL"/>
        </w:rPr>
        <w:t>phù hợp với chủ trương phát triển và nâng cao chất lượng nguồn nhân lực của tỉnh.</w:t>
      </w:r>
    </w:p>
    <w:p w14:paraId="4D52C6F0" w14:textId="77777777" w:rsidR="003744F6" w:rsidRPr="007D651C"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eastAsia="Times New Roman" w:hAnsi="Times New Roman"/>
        </w:rPr>
      </w:pPr>
      <w:r w:rsidRPr="004930B2">
        <w:rPr>
          <w:rFonts w:ascii="Times New Roman" w:eastAsia="Times New Roman" w:hAnsi="Times New Roman"/>
          <w:spacing w:val="-6"/>
        </w:rPr>
        <w:t>2. Đối với cán bộ, công chức, viên chức được tuyển dụng đủ điều kiện hưởng chính sách thu hút nguồn nhân lực theo số Nghị quyết số 12/2021/NQ-</w:t>
      </w:r>
      <w:r w:rsidRPr="007D651C">
        <w:rPr>
          <w:rFonts w:ascii="Times New Roman" w:eastAsia="Times New Roman" w:hAnsi="Times New Roman"/>
        </w:rPr>
        <w:t>HĐND ngày 20/12/2021 (được sửa đổi, bổ sung tại Nghị quyết số 03/2023/NQ-HĐND ngày 06/7/2023) trên địa bàn tỉnh Tuyên Quang (cũ) nhưng chưa được hưởng hỗ trợ và cán bộ, công chức, viên chức đã được cử đi đào tạo sau đại học theo quy định tại Nghị quyết số 12/2021/NQ-HĐND ngày 20/12/2021 (trong kế hoạch đào tạo của tỉnh), chưa được hưởng hỗ trợ hoặc mới được nhận 50% tổng kinh phí hỗ trợ: Để đảm bảo công bằng với các cán bộ, công chức, viên chức khác đã được hỗ trợ thu hút, đã được cử đi đào tạo trong giai đoạn 2021-2025 đề nghị Hội đồng nhân dân tỉnh cho phép tiếp tục cấp kinh phí từ nguồn ngân sách nhà nước hỗ trợ thu hút nguồn nhân lực, đi đào tạo sau đại học theo quy định tại Nghị quyết số 12/2021/NQ-HĐND ngày 20/12/2021; Nghị quyết số 03/2023/NQ-HĐND ngày 06/7/2023.</w:t>
      </w:r>
    </w:p>
    <w:p w14:paraId="7BA6C76A" w14:textId="6E326205" w:rsidR="003744F6" w:rsidRDefault="003744F6"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contextualSpacing/>
        <w:jc w:val="both"/>
        <w:rPr>
          <w:rFonts w:ascii="Times New Roman" w:eastAsia="Times New Roman" w:hAnsi="Times New Roman"/>
          <w:lang w:val="nl-NL"/>
        </w:rPr>
      </w:pPr>
      <w:r w:rsidRPr="007D651C">
        <w:rPr>
          <w:rFonts w:ascii="Times New Roman" w:eastAsia="Times New Roman" w:hAnsi="Times New Roman"/>
          <w:lang w:val="nl-NL"/>
        </w:rPr>
        <w:t>Trên đây là báo cáo đánh giá kết quả thực hiện chính sách thu hút nguồn nhân lực, hỗ trợ đào tạo sau đại học, nâng cao trình độ ngoại ngữ trên địa bàn tỉnh Tuyên Quang (cũ), Sở Nội vụ trân trọng báo cáo./.</w:t>
      </w:r>
    </w:p>
    <w:p w14:paraId="1DE748CA" w14:textId="77777777" w:rsidR="008A48F7" w:rsidRPr="007D651C" w:rsidRDefault="008A48F7" w:rsidP="003F6295">
      <w:pPr>
        <w:pBdr>
          <w:top w:val="none" w:sz="4" w:space="0" w:color="000000"/>
          <w:left w:val="none" w:sz="4" w:space="0" w:color="000000"/>
          <w:bottom w:val="none" w:sz="4" w:space="0" w:color="000000"/>
          <w:right w:val="none" w:sz="4" w:space="0" w:color="000000"/>
          <w:between w:val="none" w:sz="4" w:space="0" w:color="000000"/>
        </w:pBdr>
        <w:spacing w:before="120" w:after="120"/>
        <w:ind w:firstLine="720"/>
        <w:contextualSpacing/>
        <w:jc w:val="both"/>
        <w:rPr>
          <w:rFonts w:ascii="Times New Roman" w:eastAsia="Arial" w:hAnsi="Times New Roman"/>
          <w:lang w:val="nl-NL"/>
        </w:rPr>
      </w:pPr>
    </w:p>
    <w:tbl>
      <w:tblPr>
        <w:tblStyle w:val="GenStyleDefTable"/>
        <w:tblW w:w="9284" w:type="dxa"/>
        <w:jc w:val="center"/>
        <w:tblInd w:w="0" w:type="dxa"/>
        <w:tblLook w:val="04A0" w:firstRow="1" w:lastRow="0" w:firstColumn="1" w:lastColumn="0" w:noHBand="0" w:noVBand="1"/>
      </w:tblPr>
      <w:tblGrid>
        <w:gridCol w:w="4569"/>
        <w:gridCol w:w="4715"/>
      </w:tblGrid>
      <w:tr w:rsidR="007D651C" w:rsidRPr="007D651C" w14:paraId="37B176B3" w14:textId="77777777" w:rsidTr="001137AC">
        <w:trPr>
          <w:trHeight w:val="2567"/>
          <w:jc w:val="center"/>
        </w:trPr>
        <w:tc>
          <w:tcPr>
            <w:tcW w:w="4569" w:type="dxa"/>
          </w:tcPr>
          <w:p w14:paraId="483D32BB" w14:textId="77777777" w:rsidR="003744F6" w:rsidRPr="007D651C" w:rsidRDefault="003744F6" w:rsidP="003744F6">
            <w:pPr>
              <w:jc w:val="both"/>
              <w:rPr>
                <w:rFonts w:ascii="Times New Roman" w:eastAsia="Times New Roman" w:hAnsi="Times New Roman"/>
                <w:b/>
                <w:i/>
                <w:spacing w:val="-6"/>
                <w:sz w:val="24"/>
                <w:szCs w:val="24"/>
              </w:rPr>
            </w:pPr>
            <w:r w:rsidRPr="007D651C">
              <w:rPr>
                <w:rFonts w:ascii="Times New Roman" w:eastAsia="Times New Roman" w:hAnsi="Times New Roman"/>
                <w:b/>
                <w:i/>
                <w:spacing w:val="-6"/>
                <w:sz w:val="24"/>
                <w:szCs w:val="24"/>
              </w:rPr>
              <w:t>Nơi nhận:</w:t>
            </w:r>
          </w:p>
          <w:p w14:paraId="6ED00846" w14:textId="77777777" w:rsidR="003744F6" w:rsidRPr="007D651C" w:rsidRDefault="003744F6" w:rsidP="003744F6">
            <w:pPr>
              <w:jc w:val="both"/>
              <w:rPr>
                <w:rFonts w:ascii="Times New Roman" w:eastAsia="Times New Roman" w:hAnsi="Times New Roman"/>
                <w:spacing w:val="-6"/>
                <w:sz w:val="22"/>
                <w:szCs w:val="22"/>
              </w:rPr>
            </w:pPr>
            <w:r w:rsidRPr="007D651C">
              <w:rPr>
                <w:rFonts w:ascii="Times New Roman" w:eastAsia="Times New Roman" w:hAnsi="Times New Roman"/>
                <w:spacing w:val="-6"/>
                <w:sz w:val="22"/>
                <w:szCs w:val="22"/>
              </w:rPr>
              <w:t>- Như trên (báo cáo);</w:t>
            </w:r>
          </w:p>
          <w:p w14:paraId="3DDA4530" w14:textId="77777777" w:rsidR="003744F6" w:rsidRPr="007D651C" w:rsidRDefault="003744F6" w:rsidP="003744F6">
            <w:pPr>
              <w:jc w:val="both"/>
              <w:rPr>
                <w:rFonts w:ascii="Times New Roman" w:eastAsia="Times New Roman" w:hAnsi="Times New Roman"/>
                <w:spacing w:val="-6"/>
                <w:sz w:val="22"/>
                <w:szCs w:val="22"/>
              </w:rPr>
            </w:pPr>
            <w:r w:rsidRPr="007D651C">
              <w:rPr>
                <w:rFonts w:ascii="Times New Roman" w:eastAsia="Times New Roman" w:hAnsi="Times New Roman"/>
                <w:spacing w:val="-6"/>
                <w:sz w:val="22"/>
                <w:szCs w:val="22"/>
              </w:rPr>
              <w:t>- Giám đốc, Phó GĐ phụ trách;</w:t>
            </w:r>
          </w:p>
          <w:p w14:paraId="799D21AB" w14:textId="77777777" w:rsidR="003744F6" w:rsidRPr="007D651C" w:rsidRDefault="003744F6" w:rsidP="003744F6">
            <w:pPr>
              <w:jc w:val="both"/>
              <w:rPr>
                <w:rFonts w:ascii="Times New Roman" w:eastAsia="Times New Roman" w:hAnsi="Times New Roman"/>
                <w:spacing w:val="-6"/>
                <w:lang w:val="nl-NL"/>
              </w:rPr>
            </w:pPr>
            <w:r w:rsidRPr="007D651C">
              <w:rPr>
                <w:rFonts w:ascii="Times New Roman" w:eastAsia="Times New Roman" w:hAnsi="Times New Roman"/>
                <w:spacing w:val="-6"/>
                <w:sz w:val="22"/>
                <w:szCs w:val="22"/>
                <w:lang w:val="nl-NL"/>
              </w:rPr>
              <w:t>- Lưu: VT, CCVC.</w:t>
            </w:r>
          </w:p>
        </w:tc>
        <w:tc>
          <w:tcPr>
            <w:tcW w:w="4715" w:type="dxa"/>
          </w:tcPr>
          <w:p w14:paraId="1C219828" w14:textId="77777777" w:rsidR="003744F6" w:rsidRPr="007D651C" w:rsidRDefault="003744F6" w:rsidP="003744F6">
            <w:pPr>
              <w:jc w:val="center"/>
              <w:rPr>
                <w:rFonts w:ascii="Times New Roman" w:eastAsia="Times New Roman" w:hAnsi="Times New Roman"/>
                <w:b/>
                <w:sz w:val="26"/>
                <w:lang w:val="nl-NL"/>
              </w:rPr>
            </w:pPr>
            <w:r w:rsidRPr="007D651C">
              <w:rPr>
                <w:rFonts w:ascii="Times New Roman" w:eastAsia="Times New Roman" w:hAnsi="Times New Roman"/>
                <w:b/>
                <w:sz w:val="26"/>
                <w:lang w:val="nl-NL"/>
              </w:rPr>
              <w:t>KT. GIÁM ĐỐC</w:t>
            </w:r>
          </w:p>
          <w:p w14:paraId="4FD6F3E6" w14:textId="77777777" w:rsidR="003744F6" w:rsidRPr="007D651C" w:rsidRDefault="003744F6" w:rsidP="003744F6">
            <w:pPr>
              <w:spacing w:after="120"/>
              <w:jc w:val="center"/>
              <w:rPr>
                <w:rFonts w:ascii="Times New Roman" w:eastAsia="Times New Roman" w:hAnsi="Times New Roman"/>
                <w:b/>
                <w:sz w:val="26"/>
                <w:lang w:val="nl-NL"/>
              </w:rPr>
            </w:pPr>
            <w:r w:rsidRPr="007D651C">
              <w:rPr>
                <w:rFonts w:ascii="Times New Roman" w:eastAsia="Times New Roman" w:hAnsi="Times New Roman"/>
                <w:b/>
                <w:sz w:val="26"/>
                <w:lang w:val="nl-NL"/>
              </w:rPr>
              <w:t>PHÓ GIÁM ĐỐC</w:t>
            </w:r>
          </w:p>
          <w:p w14:paraId="04578F55" w14:textId="77777777" w:rsidR="003744F6" w:rsidRPr="007D651C" w:rsidRDefault="003744F6" w:rsidP="003744F6">
            <w:pPr>
              <w:jc w:val="center"/>
              <w:rPr>
                <w:rFonts w:ascii="Times New Roman" w:eastAsia="Times New Roman" w:hAnsi="Times New Roman"/>
                <w:b/>
                <w:lang w:val="nl-NL"/>
              </w:rPr>
            </w:pPr>
          </w:p>
          <w:p w14:paraId="2E225C03" w14:textId="77777777" w:rsidR="003744F6" w:rsidRPr="007D651C" w:rsidRDefault="003744F6" w:rsidP="003744F6">
            <w:pPr>
              <w:rPr>
                <w:rFonts w:ascii="Times New Roman" w:eastAsia="Times New Roman" w:hAnsi="Times New Roman"/>
                <w:b/>
                <w:lang w:val="nl-NL"/>
              </w:rPr>
            </w:pPr>
          </w:p>
          <w:p w14:paraId="7730B867" w14:textId="77777777" w:rsidR="003744F6" w:rsidRPr="007D651C" w:rsidRDefault="003744F6" w:rsidP="003744F6">
            <w:pPr>
              <w:rPr>
                <w:rFonts w:ascii="Times New Roman" w:eastAsia="Times New Roman" w:hAnsi="Times New Roman"/>
                <w:b/>
                <w:sz w:val="54"/>
                <w:lang w:val="nl-NL"/>
              </w:rPr>
            </w:pPr>
          </w:p>
          <w:p w14:paraId="231F350A" w14:textId="77777777" w:rsidR="003744F6" w:rsidRPr="007D651C" w:rsidRDefault="003744F6" w:rsidP="003744F6">
            <w:pPr>
              <w:rPr>
                <w:rFonts w:ascii="Times New Roman" w:eastAsia="Times New Roman" w:hAnsi="Times New Roman"/>
                <w:b/>
                <w:lang w:val="nl-NL"/>
              </w:rPr>
            </w:pPr>
          </w:p>
          <w:p w14:paraId="7F429094" w14:textId="77777777" w:rsidR="003744F6" w:rsidRPr="007D651C" w:rsidRDefault="003744F6" w:rsidP="003744F6">
            <w:pPr>
              <w:jc w:val="center"/>
              <w:rPr>
                <w:rFonts w:ascii="Times New Roman" w:eastAsia="Times New Roman" w:hAnsi="Times New Roman"/>
                <w:b/>
                <w:lang w:val="nl-NL"/>
              </w:rPr>
            </w:pPr>
            <w:r w:rsidRPr="007D651C">
              <w:rPr>
                <w:rFonts w:ascii="Times New Roman" w:eastAsia="Times New Roman" w:hAnsi="Times New Roman"/>
                <w:b/>
                <w:lang w:val="nl-NL"/>
              </w:rPr>
              <w:t>Lê Văn Đạt</w:t>
            </w:r>
          </w:p>
        </w:tc>
      </w:tr>
    </w:tbl>
    <w:p w14:paraId="1D6FD380" w14:textId="77777777" w:rsidR="00C36B7D" w:rsidRPr="007D651C" w:rsidRDefault="00C36B7D">
      <w:pPr>
        <w:rPr>
          <w:lang w:val="nl-NL"/>
        </w:rPr>
        <w:sectPr w:rsidR="00C36B7D" w:rsidRPr="007D651C" w:rsidSect="00CB0B8B">
          <w:headerReference w:type="default" r:id="rId8"/>
          <w:pgSz w:w="11906" w:h="16838"/>
          <w:pgMar w:top="1134" w:right="1134" w:bottom="1134" w:left="1701" w:header="709" w:footer="709" w:gutter="0"/>
          <w:cols w:space="708"/>
          <w:titlePg/>
          <w:docGrid w:linePitch="381"/>
        </w:sectPr>
      </w:pPr>
    </w:p>
    <w:p w14:paraId="48EC3096" w14:textId="77777777" w:rsidR="006D1F41" w:rsidRPr="007D651C" w:rsidRDefault="006D1F41" w:rsidP="00261D4A">
      <w:pPr>
        <w:jc w:val="center"/>
        <w:rPr>
          <w:rFonts w:asciiTheme="majorHAnsi" w:hAnsiTheme="majorHAnsi" w:cstheme="majorHAnsi"/>
          <w:b/>
          <w:lang w:val="nl-NL"/>
        </w:rPr>
      </w:pPr>
      <w:r w:rsidRPr="007D651C">
        <w:rPr>
          <w:rFonts w:asciiTheme="majorHAnsi" w:hAnsiTheme="majorHAnsi" w:cstheme="majorHAnsi"/>
          <w:b/>
          <w:lang w:val="nl-NL"/>
        </w:rPr>
        <w:lastRenderedPageBreak/>
        <w:t>PHỤ LỤC</w:t>
      </w:r>
    </w:p>
    <w:p w14:paraId="2810CD79" w14:textId="600E3082" w:rsidR="006D1F41" w:rsidRPr="007D651C" w:rsidRDefault="006D1F41" w:rsidP="006D1F41">
      <w:pPr>
        <w:jc w:val="center"/>
        <w:rPr>
          <w:rFonts w:asciiTheme="majorHAnsi" w:hAnsiTheme="majorHAnsi" w:cstheme="majorHAnsi"/>
          <w:i/>
          <w:lang w:val="nl-NL"/>
        </w:rPr>
      </w:pPr>
      <w:r w:rsidRPr="007D651C">
        <w:rPr>
          <w:rFonts w:asciiTheme="majorHAnsi" w:hAnsiTheme="majorHAnsi" w:cstheme="majorHAnsi"/>
          <w:i/>
          <w:lang w:val="nl-NL"/>
        </w:rPr>
        <w:t>(Kèm theo Báo cáo số:         /BC-SNV ngày    /</w:t>
      </w:r>
      <w:r w:rsidR="003744F6" w:rsidRPr="007D651C">
        <w:rPr>
          <w:rFonts w:asciiTheme="majorHAnsi" w:hAnsiTheme="majorHAnsi" w:cstheme="majorHAnsi"/>
          <w:i/>
          <w:lang w:val="nl-NL"/>
        </w:rPr>
        <w:t>11</w:t>
      </w:r>
      <w:r w:rsidRPr="007D651C">
        <w:rPr>
          <w:rFonts w:asciiTheme="majorHAnsi" w:hAnsiTheme="majorHAnsi" w:cstheme="majorHAnsi"/>
          <w:i/>
          <w:lang w:val="nl-NL"/>
        </w:rPr>
        <w:t>/2025 của Sở Nội vụ)</w:t>
      </w:r>
    </w:p>
    <w:p w14:paraId="27A772C6" w14:textId="1B67DA93" w:rsidR="006D1F41" w:rsidRPr="007D651C" w:rsidRDefault="00C36B7D" w:rsidP="006D1F41">
      <w:pPr>
        <w:jc w:val="center"/>
        <w:rPr>
          <w:rFonts w:asciiTheme="majorHAnsi" w:hAnsiTheme="majorHAnsi" w:cstheme="majorHAnsi"/>
          <w:i/>
          <w:lang w:val="nl-NL"/>
        </w:rPr>
      </w:pPr>
      <w:r w:rsidRPr="007D651C">
        <w:rPr>
          <w:rFonts w:asciiTheme="majorHAnsi" w:hAnsiTheme="majorHAnsi" w:cstheme="majorHAnsi"/>
          <w:i/>
          <w:noProof/>
        </w:rPr>
        <mc:AlternateContent>
          <mc:Choice Requires="wps">
            <w:drawing>
              <wp:anchor distT="0" distB="0" distL="114300" distR="114300" simplePos="0" relativeHeight="251660288" behindDoc="0" locked="0" layoutInCell="1" allowOverlap="1" wp14:anchorId="2755DF33" wp14:editId="45900520">
                <wp:simplePos x="0" y="0"/>
                <wp:positionH relativeFrom="column">
                  <wp:posOffset>4038600</wp:posOffset>
                </wp:positionH>
                <wp:positionV relativeFrom="paragraph">
                  <wp:posOffset>53975</wp:posOffset>
                </wp:positionV>
                <wp:extent cx="1249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E31B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4.25pt" to="41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s7mQEAAIgDAAAOAAAAZHJzL2Uyb0RvYy54bWysU9uO0zAQfUfiHyy/06QVWi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" strokecolor="black [3040]"/>
            </w:pict>
          </mc:Fallback>
        </mc:AlternateContent>
      </w:r>
    </w:p>
    <w:p w14:paraId="5DEAEB46" w14:textId="77777777" w:rsidR="006D1F41" w:rsidRPr="007D651C" w:rsidRDefault="006D1F41" w:rsidP="00B75942">
      <w:pPr>
        <w:spacing w:before="360" w:after="100" w:afterAutospacing="1"/>
        <w:ind w:firstLine="720"/>
        <w:jc w:val="both"/>
        <w:rPr>
          <w:rFonts w:asciiTheme="majorHAnsi" w:hAnsiTheme="majorHAnsi" w:cstheme="majorHAnsi"/>
          <w:b/>
          <w:lang w:val="nl-NL"/>
        </w:rPr>
      </w:pPr>
      <w:r w:rsidRPr="007D651C">
        <w:rPr>
          <w:rFonts w:asciiTheme="majorHAnsi" w:hAnsiTheme="majorHAnsi" w:cstheme="majorHAnsi"/>
          <w:b/>
          <w:lang w:val="nl-NL"/>
        </w:rPr>
        <w:t>1. Chủ trương, đường lối của Đảng có liên quan đến dự thảo</w:t>
      </w:r>
    </w:p>
    <w:tbl>
      <w:tblPr>
        <w:tblStyle w:val="TableGrid"/>
        <w:tblW w:w="15163" w:type="dxa"/>
        <w:tblLook w:val="04A0" w:firstRow="1" w:lastRow="0" w:firstColumn="1" w:lastColumn="0" w:noHBand="0" w:noVBand="1"/>
      </w:tblPr>
      <w:tblGrid>
        <w:gridCol w:w="1980"/>
        <w:gridCol w:w="6095"/>
        <w:gridCol w:w="4820"/>
        <w:gridCol w:w="2268"/>
      </w:tblGrid>
      <w:tr w:rsidR="007D651C" w:rsidRPr="007D651C" w14:paraId="5CDEEBFF" w14:textId="77777777" w:rsidTr="004F0C21">
        <w:tc>
          <w:tcPr>
            <w:tcW w:w="1980" w:type="dxa"/>
          </w:tcPr>
          <w:p w14:paraId="1850B200" w14:textId="77777777" w:rsidR="006D1F41" w:rsidRPr="007D651C" w:rsidRDefault="006D1F41" w:rsidP="00855895">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 xml:space="preserve">QUY ĐỊNH CỦA </w:t>
            </w:r>
            <w:r w:rsidRPr="007D651C">
              <w:rPr>
                <w:rFonts w:asciiTheme="majorHAnsi" w:hAnsiTheme="majorHAnsi" w:cstheme="majorHAnsi"/>
                <w:b/>
                <w:bCs/>
                <w:lang w:val="nl-NL"/>
              </w:rPr>
              <w:br/>
              <w:t>DỰ THẢO</w:t>
            </w:r>
          </w:p>
        </w:tc>
        <w:tc>
          <w:tcPr>
            <w:tcW w:w="6095" w:type="dxa"/>
          </w:tcPr>
          <w:p w14:paraId="6AC96E1C" w14:textId="77777777" w:rsidR="006D1F41" w:rsidRPr="007D651C" w:rsidRDefault="006D1F41" w:rsidP="00855895">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CHỦ TRƯƠNG, ĐƯỜNG LỐI CỦA ĐẢNG</w:t>
            </w:r>
          </w:p>
        </w:tc>
        <w:tc>
          <w:tcPr>
            <w:tcW w:w="4820" w:type="dxa"/>
          </w:tcPr>
          <w:p w14:paraId="4C920648" w14:textId="77777777" w:rsidR="006D1F41" w:rsidRPr="007D651C" w:rsidRDefault="006D1F41" w:rsidP="00855895">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 xml:space="preserve">ĐÁNH GIÁ </w:t>
            </w:r>
            <w:r w:rsidRPr="007D651C">
              <w:rPr>
                <w:rFonts w:asciiTheme="majorHAnsi" w:hAnsiTheme="majorHAnsi" w:cstheme="majorHAnsi"/>
                <w:b/>
                <w:bCs/>
                <w:lang w:val="nl-NL"/>
              </w:rPr>
              <w:br/>
              <w:t>(Đã thể chế đầy đủ hoặc một phần)</w:t>
            </w:r>
          </w:p>
        </w:tc>
        <w:tc>
          <w:tcPr>
            <w:tcW w:w="2268" w:type="dxa"/>
          </w:tcPr>
          <w:p w14:paraId="1907D765" w14:textId="77777777" w:rsidR="006D1F41" w:rsidRPr="007D651C" w:rsidRDefault="006D1F41" w:rsidP="00855895">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 xml:space="preserve">ĐỀ XUẤT </w:t>
            </w:r>
            <w:r w:rsidRPr="007D651C">
              <w:rPr>
                <w:rFonts w:asciiTheme="majorHAnsi" w:hAnsiTheme="majorHAnsi" w:cstheme="majorHAnsi"/>
                <w:b/>
                <w:bCs/>
                <w:lang w:val="nl-NL"/>
              </w:rPr>
              <w:br/>
              <w:t>XỬ LÝ</w:t>
            </w:r>
          </w:p>
        </w:tc>
      </w:tr>
      <w:tr w:rsidR="007D651C" w:rsidRPr="007D651C" w14:paraId="6386C544" w14:textId="77777777" w:rsidTr="004F0C21">
        <w:trPr>
          <w:trHeight w:val="5895"/>
        </w:trPr>
        <w:tc>
          <w:tcPr>
            <w:tcW w:w="1980" w:type="dxa"/>
          </w:tcPr>
          <w:p w14:paraId="7784CA19" w14:textId="77777777" w:rsidR="006D1F41" w:rsidRPr="007D651C" w:rsidRDefault="006D1F41" w:rsidP="004F0C21">
            <w:pPr>
              <w:spacing w:before="120" w:after="120"/>
              <w:jc w:val="both"/>
              <w:rPr>
                <w:rFonts w:asciiTheme="majorHAnsi" w:hAnsiTheme="majorHAnsi" w:cstheme="majorHAnsi"/>
                <w:b/>
                <w:lang w:val="nl-NL"/>
              </w:rPr>
            </w:pPr>
          </w:p>
          <w:p w14:paraId="7F42A96C" w14:textId="77777777" w:rsidR="003744F6" w:rsidRPr="007D651C" w:rsidRDefault="003744F6" w:rsidP="004F0C21">
            <w:pPr>
              <w:spacing w:before="120" w:after="120"/>
              <w:jc w:val="both"/>
              <w:rPr>
                <w:rFonts w:asciiTheme="majorHAnsi" w:hAnsiTheme="majorHAnsi" w:cstheme="majorHAnsi"/>
                <w:b/>
                <w:lang w:val="nl-NL"/>
              </w:rPr>
            </w:pPr>
          </w:p>
          <w:p w14:paraId="6F107937" w14:textId="3C4A08DC" w:rsidR="003744F6" w:rsidRPr="007D651C" w:rsidRDefault="003744F6" w:rsidP="004F0C21">
            <w:pPr>
              <w:spacing w:before="120" w:after="120"/>
              <w:jc w:val="both"/>
              <w:rPr>
                <w:rFonts w:asciiTheme="majorHAnsi" w:hAnsiTheme="majorHAnsi" w:cstheme="majorHAnsi"/>
                <w:b/>
                <w:lang w:val="nl-NL"/>
              </w:rPr>
            </w:pPr>
          </w:p>
        </w:tc>
        <w:tc>
          <w:tcPr>
            <w:tcW w:w="6095" w:type="dxa"/>
          </w:tcPr>
          <w:p w14:paraId="2FAC48B8" w14:textId="25A86ECA" w:rsidR="00541FF3" w:rsidRPr="007D651C" w:rsidRDefault="00541FF3" w:rsidP="00B75942">
            <w:pPr>
              <w:widowControl w:val="0"/>
              <w:shd w:val="clear" w:color="auto" w:fill="FFFFFF"/>
              <w:spacing w:before="240" w:after="120"/>
              <w:ind w:right="249"/>
              <w:jc w:val="both"/>
              <w:rPr>
                <w:rFonts w:ascii="Times New Roman" w:hAnsi="Times New Roman"/>
                <w:iCs/>
                <w:spacing w:val="-2"/>
                <w:lang w:val="nl-NL"/>
              </w:rPr>
            </w:pPr>
            <w:r w:rsidRPr="007D651C">
              <w:rPr>
                <w:rFonts w:ascii="Times New Roman" w:hAnsi="Times New Roman"/>
                <w:iCs/>
                <w:spacing w:val="-2"/>
                <w:lang w:val="nl-NL"/>
              </w:rPr>
              <w:t xml:space="preserve">- </w:t>
            </w:r>
            <w:r w:rsidR="00B37714" w:rsidRPr="007D651C">
              <w:rPr>
                <w:rFonts w:ascii="Times New Roman" w:hAnsi="Times New Roman"/>
                <w:lang w:val="nl-NL"/>
              </w:rPr>
              <w:t>Luật Cán bộ, công chức ngày 24/6/2025.</w:t>
            </w:r>
          </w:p>
          <w:p w14:paraId="039EE86E" w14:textId="5BEAE798" w:rsidR="00541FF3" w:rsidRPr="007D651C" w:rsidRDefault="00541FF3" w:rsidP="00B75942">
            <w:pPr>
              <w:widowControl w:val="0"/>
              <w:shd w:val="clear" w:color="auto" w:fill="FFFFFF"/>
              <w:spacing w:before="120" w:after="120"/>
              <w:ind w:right="247"/>
              <w:jc w:val="both"/>
              <w:rPr>
                <w:rFonts w:ascii="Times New Roman" w:hAnsi="Times New Roman"/>
                <w:iCs/>
                <w:spacing w:val="-2"/>
                <w:lang w:val="nl-NL"/>
              </w:rPr>
            </w:pPr>
            <w:r w:rsidRPr="007D651C">
              <w:rPr>
                <w:rFonts w:ascii="Times New Roman" w:hAnsi="Times New Roman"/>
                <w:iCs/>
                <w:spacing w:val="-2"/>
                <w:lang w:val="nl-NL"/>
              </w:rPr>
              <w:t>-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r w:rsidR="00B37714" w:rsidRPr="007D651C">
              <w:rPr>
                <w:rFonts w:ascii="Times New Roman" w:hAnsi="Times New Roman"/>
                <w:iCs/>
                <w:spacing w:val="-2"/>
                <w:lang w:val="nl-NL"/>
              </w:rPr>
              <w:t>.</w:t>
            </w:r>
          </w:p>
          <w:p w14:paraId="66071C2E" w14:textId="349B6DB2" w:rsidR="003744F6" w:rsidRPr="007D651C" w:rsidRDefault="00541FF3" w:rsidP="00B75942">
            <w:pPr>
              <w:spacing w:before="120" w:after="120"/>
              <w:jc w:val="both"/>
              <w:rPr>
                <w:rFonts w:asciiTheme="majorHAnsi" w:hAnsiTheme="majorHAnsi" w:cstheme="majorHAnsi"/>
                <w:b/>
                <w:lang w:val="nl-NL"/>
              </w:rPr>
            </w:pPr>
            <w:r w:rsidRPr="007D651C">
              <w:rPr>
                <w:rFonts w:ascii="Times New Roman" w:hAnsi="Times New Roman"/>
                <w:iCs/>
                <w:spacing w:val="-2"/>
                <w:lang w:val="nl-NL"/>
              </w:rPr>
              <w:t>- Nghị định số 171/2025/NĐ-CP ngày 30/6/2025 của Chính phủ quy định về đào tạo, bồi dưỡng công chức</w:t>
            </w:r>
            <w:r w:rsidR="00B37714" w:rsidRPr="007D651C">
              <w:rPr>
                <w:rFonts w:ascii="Times New Roman" w:hAnsi="Times New Roman"/>
                <w:iCs/>
                <w:spacing w:val="-2"/>
                <w:lang w:val="nl-NL"/>
              </w:rPr>
              <w:t>.</w:t>
            </w:r>
          </w:p>
        </w:tc>
        <w:tc>
          <w:tcPr>
            <w:tcW w:w="4820" w:type="dxa"/>
          </w:tcPr>
          <w:p w14:paraId="17DECAB7" w14:textId="2DD92E65" w:rsidR="005F2877" w:rsidRPr="007D651C" w:rsidRDefault="005F2877" w:rsidP="00B75942">
            <w:pPr>
              <w:widowControl w:val="0"/>
              <w:shd w:val="clear" w:color="auto" w:fill="FFFFFF"/>
              <w:spacing w:before="240" w:after="120"/>
              <w:ind w:right="249"/>
              <w:jc w:val="both"/>
              <w:rPr>
                <w:rFonts w:ascii="Times New Roman" w:hAnsi="Times New Roman"/>
                <w:iCs/>
                <w:spacing w:val="-2"/>
                <w:lang w:val="nl-NL"/>
              </w:rPr>
            </w:pPr>
            <w:r w:rsidRPr="007D651C">
              <w:rPr>
                <w:rFonts w:ascii="Times New Roman" w:hAnsi="Times New Roman"/>
                <w:iCs/>
                <w:spacing w:val="-2"/>
                <w:lang w:val="nl-NL"/>
              </w:rPr>
              <w:t>Dự thảo được xây dựng với những cơ chế, chính sách mang tính đồng bộ</w:t>
            </w:r>
            <w:r w:rsidR="00580A40" w:rsidRPr="007D651C">
              <w:rPr>
                <w:rFonts w:ascii="Times New Roman" w:hAnsi="Times New Roman"/>
                <w:iCs/>
                <w:spacing w:val="-2"/>
                <w:lang w:val="nl-NL"/>
              </w:rPr>
              <w:t>, thống nhất</w:t>
            </w:r>
            <w:r w:rsidRPr="007D651C">
              <w:rPr>
                <w:rFonts w:ascii="Times New Roman" w:hAnsi="Times New Roman"/>
                <w:iCs/>
                <w:spacing w:val="-2"/>
                <w:lang w:val="nl-NL"/>
              </w:rPr>
              <w:t xml:space="preserve">; có cơ chế </w:t>
            </w:r>
            <w:r w:rsidR="00580A40" w:rsidRPr="007D651C">
              <w:rPr>
                <w:rFonts w:ascii="Times New Roman" w:hAnsi="Times New Roman"/>
                <w:iCs/>
                <w:spacing w:val="-2"/>
                <w:lang w:val="nl-NL"/>
              </w:rPr>
              <w:t>chính sách</w:t>
            </w:r>
            <w:r w:rsidRPr="007D651C">
              <w:rPr>
                <w:rFonts w:ascii="Times New Roman" w:hAnsi="Times New Roman"/>
                <w:iCs/>
                <w:spacing w:val="-2"/>
                <w:lang w:val="nl-NL"/>
              </w:rPr>
              <w:t xml:space="preserve"> để thu hút </w:t>
            </w:r>
            <w:r w:rsidR="00580A40" w:rsidRPr="007D651C">
              <w:rPr>
                <w:rFonts w:ascii="Times New Roman" w:hAnsi="Times New Roman"/>
                <w:iCs/>
                <w:spacing w:val="-2"/>
                <w:lang w:val="nl-NL"/>
              </w:rPr>
              <w:t>nguồn nhân lực chất lượng cao, người có tài năng</w:t>
            </w:r>
            <w:r w:rsidRPr="007D651C">
              <w:rPr>
                <w:rFonts w:ascii="Times New Roman" w:hAnsi="Times New Roman"/>
                <w:iCs/>
                <w:spacing w:val="-2"/>
                <w:lang w:val="nl-NL"/>
              </w:rPr>
              <w:t xml:space="preserve"> tạo môi trường và điều kiện thuận lợi cho hoạt động nghề nghiệp của trí thức, nhân tài</w:t>
            </w:r>
            <w:r w:rsidR="000E5A48" w:rsidRPr="007D651C">
              <w:rPr>
                <w:rFonts w:ascii="Times New Roman" w:hAnsi="Times New Roman"/>
                <w:iCs/>
                <w:spacing w:val="-2"/>
                <w:lang w:val="nl-NL"/>
              </w:rPr>
              <w:t xml:space="preserve"> </w:t>
            </w:r>
            <w:r w:rsidRPr="007D651C">
              <w:rPr>
                <w:rFonts w:ascii="Times New Roman" w:hAnsi="Times New Roman"/>
                <w:iCs/>
                <w:spacing w:val="-2"/>
                <w:lang w:val="nl-NL"/>
              </w:rPr>
              <w:t>nhằm đảm bảo tính thống nhất, đồng bộ trên địa bàn toàn tỉnh sau sáp nhập 02 tỉnh.</w:t>
            </w:r>
          </w:p>
          <w:p w14:paraId="39D0EB73" w14:textId="6D70B4CA" w:rsidR="006D1F41" w:rsidRPr="007D651C" w:rsidRDefault="005F2877" w:rsidP="00B75942">
            <w:pPr>
              <w:spacing w:before="120" w:after="120"/>
              <w:jc w:val="both"/>
              <w:rPr>
                <w:rFonts w:asciiTheme="majorHAnsi" w:hAnsiTheme="majorHAnsi" w:cstheme="majorHAnsi"/>
                <w:b/>
                <w:lang w:val="nl-NL"/>
              </w:rPr>
            </w:pPr>
            <w:r w:rsidRPr="007D651C">
              <w:rPr>
                <w:rFonts w:ascii="Times New Roman" w:hAnsi="Times New Roman"/>
                <w:iCs/>
                <w:spacing w:val="-2"/>
                <w:lang w:val="nl-NL"/>
              </w:rPr>
              <w:t>Đã thể chế hóa quy định liên quan đến thu hút, trọng dụng người có tài năng</w:t>
            </w:r>
            <w:r w:rsidR="003F6295" w:rsidRPr="007D651C">
              <w:rPr>
                <w:rFonts w:ascii="Times New Roman" w:hAnsi="Times New Roman"/>
                <w:iCs/>
                <w:spacing w:val="-2"/>
                <w:lang w:val="nl-NL"/>
              </w:rPr>
              <w:t>.</w:t>
            </w:r>
          </w:p>
        </w:tc>
        <w:tc>
          <w:tcPr>
            <w:tcW w:w="2268" w:type="dxa"/>
          </w:tcPr>
          <w:p w14:paraId="1EE57358" w14:textId="5F24F65E" w:rsidR="006D1F41" w:rsidRPr="007D651C" w:rsidRDefault="00F77579" w:rsidP="00B75942">
            <w:pPr>
              <w:tabs>
                <w:tab w:val="left" w:pos="720"/>
              </w:tabs>
              <w:spacing w:before="240" w:after="120"/>
              <w:jc w:val="both"/>
              <w:rPr>
                <w:rFonts w:ascii="Times New Roman" w:eastAsia="Times New Roman" w:hAnsi="Times New Roman"/>
              </w:rPr>
            </w:pPr>
            <w:r w:rsidRPr="007D651C">
              <w:rPr>
                <w:rFonts w:ascii="Times New Roman" w:eastAsia="Times New Roman" w:hAnsi="Times New Roman"/>
                <w:spacing w:val="-4"/>
              </w:rPr>
              <w:t xml:space="preserve">Đề nghị Hội đồng nhân dân tỉnh ban hành Nghị quyết </w:t>
            </w:r>
            <w:r w:rsidR="00B75942" w:rsidRPr="007D651C">
              <w:rPr>
                <w:rFonts w:ascii="Times New Roman" w:eastAsia="Times New Roman" w:hAnsi="Times New Roman"/>
                <w:spacing w:val="2"/>
                <w:lang w:val="nl-NL" w:eastAsia="vi-VN"/>
              </w:rPr>
              <w:t xml:space="preserve">Quy định </w:t>
            </w:r>
            <w:r w:rsidR="00B75942" w:rsidRPr="007D651C">
              <w:rPr>
                <w:rFonts w:ascii="Times New Roman" w:eastAsia="Times New Roman" w:hAnsi="Times New Roman"/>
              </w:rPr>
              <w:t>chính sách thu hút nguồn nhân lực</w:t>
            </w:r>
            <w:r w:rsidR="00B75942" w:rsidRPr="007D651C">
              <w:rPr>
                <w:rFonts w:ascii="Times New Roman" w:eastAsia="Times New Roman" w:hAnsi="Times New Roman"/>
                <w:lang w:val="nl-NL"/>
              </w:rPr>
              <w:t xml:space="preserve"> </w:t>
            </w:r>
            <w:r w:rsidR="00B75942" w:rsidRPr="007D651C">
              <w:rPr>
                <w:rFonts w:ascii="Times New Roman" w:eastAsia="Times New Roman" w:hAnsi="Times New Roman"/>
              </w:rPr>
              <w:t>chất lượng cao và chính sách đối với người có tài năng trong hoạt động công vụ trên địa bàn tỉnh Tuyên Quang</w:t>
            </w:r>
          </w:p>
        </w:tc>
      </w:tr>
    </w:tbl>
    <w:p w14:paraId="161BFFD7" w14:textId="77777777" w:rsidR="00B75942" w:rsidRPr="007D651C" w:rsidRDefault="00B75942" w:rsidP="00B75942">
      <w:pPr>
        <w:spacing w:before="120" w:after="120"/>
        <w:jc w:val="both"/>
        <w:rPr>
          <w:rFonts w:asciiTheme="majorHAnsi" w:hAnsiTheme="majorHAnsi" w:cstheme="majorHAnsi"/>
          <w:b/>
          <w:lang w:val="nl-NL"/>
        </w:rPr>
      </w:pPr>
    </w:p>
    <w:p w14:paraId="444ABACA" w14:textId="09F84FD9" w:rsidR="006D1F41" w:rsidRPr="007D651C" w:rsidRDefault="006D1F41" w:rsidP="00B75942">
      <w:pPr>
        <w:spacing w:before="120" w:after="120"/>
        <w:ind w:firstLine="720"/>
        <w:jc w:val="both"/>
        <w:rPr>
          <w:rFonts w:asciiTheme="majorHAnsi" w:hAnsiTheme="majorHAnsi" w:cstheme="majorHAnsi"/>
          <w:b/>
          <w:lang w:val="nl-NL"/>
        </w:rPr>
      </w:pPr>
      <w:r w:rsidRPr="007D651C">
        <w:rPr>
          <w:rFonts w:asciiTheme="majorHAnsi" w:hAnsiTheme="majorHAnsi" w:cstheme="majorHAnsi"/>
          <w:b/>
          <w:lang w:val="nl-NL"/>
        </w:rPr>
        <w:lastRenderedPageBreak/>
        <w:t>2. Văn bản quy phạm pháp luật có liên quan đến dự thảo</w:t>
      </w:r>
    </w:p>
    <w:tbl>
      <w:tblPr>
        <w:tblStyle w:val="TableGrid"/>
        <w:tblW w:w="15163" w:type="dxa"/>
        <w:tblLook w:val="04A0" w:firstRow="1" w:lastRow="0" w:firstColumn="1" w:lastColumn="0" w:noHBand="0" w:noVBand="1"/>
      </w:tblPr>
      <w:tblGrid>
        <w:gridCol w:w="2122"/>
        <w:gridCol w:w="7087"/>
        <w:gridCol w:w="3686"/>
        <w:gridCol w:w="2268"/>
      </w:tblGrid>
      <w:tr w:rsidR="007D651C" w:rsidRPr="007D651C" w14:paraId="56277CF8" w14:textId="77777777" w:rsidTr="004F0C21">
        <w:tc>
          <w:tcPr>
            <w:tcW w:w="2122" w:type="dxa"/>
          </w:tcPr>
          <w:p w14:paraId="01EC9F3E" w14:textId="77777777" w:rsidR="00C23D45" w:rsidRPr="007D651C" w:rsidRDefault="00C23D45" w:rsidP="00D1776C">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 xml:space="preserve">QUY ĐỊNH CỦA </w:t>
            </w:r>
            <w:r w:rsidRPr="007D651C">
              <w:rPr>
                <w:rFonts w:asciiTheme="majorHAnsi" w:hAnsiTheme="majorHAnsi" w:cstheme="majorHAnsi"/>
                <w:b/>
                <w:bCs/>
                <w:lang w:val="nl-NL"/>
              </w:rPr>
              <w:br/>
              <w:t>DỰ THẢO</w:t>
            </w:r>
          </w:p>
        </w:tc>
        <w:tc>
          <w:tcPr>
            <w:tcW w:w="7087" w:type="dxa"/>
          </w:tcPr>
          <w:p w14:paraId="6DA5C86A" w14:textId="77777777" w:rsidR="00C23D45" w:rsidRPr="007D651C" w:rsidRDefault="00C23D45" w:rsidP="00D1776C">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QUY ĐỊNH CỦA PHÁP LUẬT HIỆN HÀNH CÓ LIÊN QUAN</w:t>
            </w:r>
          </w:p>
        </w:tc>
        <w:tc>
          <w:tcPr>
            <w:tcW w:w="3686" w:type="dxa"/>
          </w:tcPr>
          <w:p w14:paraId="0C0681E0" w14:textId="77777777" w:rsidR="00C23D45" w:rsidRPr="007D651C" w:rsidRDefault="00C23D45" w:rsidP="00C23D45">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ĐÁNH GIÁ</w:t>
            </w:r>
            <w:r w:rsidRPr="007D651C">
              <w:rPr>
                <w:rFonts w:asciiTheme="majorHAnsi" w:hAnsiTheme="majorHAnsi" w:cstheme="majorHAnsi"/>
                <w:b/>
                <w:bCs/>
                <w:lang w:val="nl-NL"/>
              </w:rPr>
              <w:br/>
              <w:t xml:space="preserve"> (Tính hợp hiến, tính hợp pháp, tính thống nhất)</w:t>
            </w:r>
          </w:p>
        </w:tc>
        <w:tc>
          <w:tcPr>
            <w:tcW w:w="2268" w:type="dxa"/>
          </w:tcPr>
          <w:p w14:paraId="70B1200D" w14:textId="77777777" w:rsidR="00C23D45" w:rsidRPr="007D651C" w:rsidRDefault="00C23D45" w:rsidP="00D1776C">
            <w:pPr>
              <w:spacing w:before="120" w:after="120"/>
              <w:jc w:val="center"/>
              <w:rPr>
                <w:rFonts w:asciiTheme="majorHAnsi" w:hAnsiTheme="majorHAnsi" w:cstheme="majorHAnsi"/>
                <w:b/>
                <w:bCs/>
                <w:lang w:val="nl-NL"/>
              </w:rPr>
            </w:pPr>
            <w:r w:rsidRPr="007D651C">
              <w:rPr>
                <w:rFonts w:asciiTheme="majorHAnsi" w:hAnsiTheme="majorHAnsi" w:cstheme="majorHAnsi"/>
                <w:b/>
                <w:bCs/>
                <w:lang w:val="nl-NL"/>
              </w:rPr>
              <w:t xml:space="preserve">ĐỀ XUẤT </w:t>
            </w:r>
            <w:r w:rsidRPr="007D651C">
              <w:rPr>
                <w:rFonts w:asciiTheme="majorHAnsi" w:hAnsiTheme="majorHAnsi" w:cstheme="majorHAnsi"/>
                <w:b/>
                <w:bCs/>
                <w:lang w:val="nl-NL"/>
              </w:rPr>
              <w:br/>
              <w:t>XỬ LÝ</w:t>
            </w:r>
          </w:p>
        </w:tc>
      </w:tr>
      <w:tr w:rsidR="007D651C" w:rsidRPr="007D651C" w14:paraId="1A16F035" w14:textId="77777777" w:rsidTr="004F0C21">
        <w:tc>
          <w:tcPr>
            <w:tcW w:w="2122" w:type="dxa"/>
          </w:tcPr>
          <w:p w14:paraId="43F225D0" w14:textId="6C392494" w:rsidR="00C23D45" w:rsidRPr="007D651C" w:rsidRDefault="004F0C21" w:rsidP="003F6295">
            <w:pPr>
              <w:spacing w:before="120" w:after="120"/>
              <w:jc w:val="both"/>
              <w:rPr>
                <w:rFonts w:asciiTheme="majorHAnsi" w:hAnsiTheme="majorHAnsi" w:cstheme="majorHAnsi"/>
                <w:lang w:val="nl-NL"/>
              </w:rPr>
            </w:pPr>
            <w:r w:rsidRPr="007D651C">
              <w:rPr>
                <w:rFonts w:ascii="Times New Roman" w:eastAsia="Times New Roman" w:hAnsi="Times New Roman"/>
                <w:spacing w:val="2"/>
                <w:lang w:val="nl-NL" w:eastAsia="vi-VN"/>
              </w:rPr>
              <w:t xml:space="preserve">Quy định </w:t>
            </w:r>
            <w:r w:rsidRPr="007D651C">
              <w:rPr>
                <w:rFonts w:ascii="Times New Roman" w:eastAsia="Times New Roman" w:hAnsi="Times New Roman"/>
              </w:rPr>
              <w:t>chính sách thu hút nguồn nhân lực</w:t>
            </w:r>
            <w:r w:rsidRPr="007D651C">
              <w:rPr>
                <w:rFonts w:ascii="Times New Roman" w:eastAsia="Times New Roman" w:hAnsi="Times New Roman"/>
                <w:lang w:val="nl-NL"/>
              </w:rPr>
              <w:t xml:space="preserve"> </w:t>
            </w:r>
            <w:r w:rsidRPr="007D651C">
              <w:rPr>
                <w:rFonts w:ascii="Times New Roman" w:eastAsia="Times New Roman" w:hAnsi="Times New Roman"/>
              </w:rPr>
              <w:t xml:space="preserve">chất lượng cao và chính sách đối với người có tài năng </w:t>
            </w:r>
            <w:r w:rsidR="00B75942" w:rsidRPr="007D651C">
              <w:rPr>
                <w:rFonts w:ascii="Times New Roman" w:eastAsia="Times New Roman" w:hAnsi="Times New Roman"/>
              </w:rPr>
              <w:t>trong hoạt động công vụ trên địa bàn tỉnh Tuyên Quang</w:t>
            </w:r>
          </w:p>
        </w:tc>
        <w:tc>
          <w:tcPr>
            <w:tcW w:w="7087" w:type="dxa"/>
          </w:tcPr>
          <w:p w14:paraId="5B964ADC" w14:textId="587A9BDE" w:rsidR="0013785C" w:rsidRPr="007D651C" w:rsidRDefault="0013785C" w:rsidP="004F0C21">
            <w:pPr>
              <w:pBdr>
                <w:top w:val="none" w:sz="4" w:space="0" w:color="000000"/>
                <w:left w:val="none" w:sz="4" w:space="0" w:color="000000"/>
                <w:bottom w:val="none" w:sz="4" w:space="0" w:color="000000"/>
                <w:right w:val="none" w:sz="4" w:space="0" w:color="000000"/>
                <w:between w:val="none" w:sz="4" w:space="0" w:color="000000"/>
              </w:pBdr>
              <w:spacing w:before="120"/>
              <w:jc w:val="both"/>
              <w:rPr>
                <w:rFonts w:ascii="Times New Roman" w:eastAsia="Times New Roman" w:hAnsi="Times New Roman"/>
                <w:lang w:val="nl-NL"/>
              </w:rPr>
            </w:pPr>
            <w:r w:rsidRPr="007D651C">
              <w:rPr>
                <w:rFonts w:ascii="Times New Roman" w:eastAsia="Times New Roman" w:hAnsi="Times New Roman"/>
                <w:lang w:val="nl-NL"/>
              </w:rPr>
              <w:t>(1) Tại khoản 1, khoản 2, khoản 4 Điều 4 Luật Cán bộ, công chức quy định:</w:t>
            </w:r>
          </w:p>
          <w:p w14:paraId="2FC2C00D" w14:textId="77777777" w:rsidR="0013785C" w:rsidRPr="007D651C" w:rsidRDefault="0013785C" w:rsidP="004F0C21">
            <w:pPr>
              <w:pBdr>
                <w:top w:val="none" w:sz="4" w:space="0" w:color="000000"/>
                <w:left w:val="none" w:sz="4" w:space="0" w:color="000000"/>
                <w:bottom w:val="none" w:sz="4" w:space="0" w:color="000000"/>
                <w:right w:val="none" w:sz="4" w:space="0" w:color="000000"/>
                <w:between w:val="none" w:sz="4" w:space="0" w:color="000000"/>
              </w:pBdr>
              <w:spacing w:before="120"/>
              <w:jc w:val="both"/>
              <w:rPr>
                <w:rFonts w:ascii="Times New Roman" w:eastAsia="Times New Roman" w:hAnsi="Times New Roman"/>
                <w:i/>
                <w:iCs/>
                <w:lang w:val="nl-NL"/>
              </w:rPr>
            </w:pPr>
            <w:r w:rsidRPr="007D651C">
              <w:rPr>
                <w:rFonts w:ascii="Times New Roman" w:eastAsia="Times New Roman" w:hAnsi="Times New Roman"/>
                <w:i/>
                <w:iCs/>
                <w:lang w:val="nl-NL"/>
              </w:rPr>
              <w:t>“Điều 4. Cơ chế thu hút nguồn nhân lực chất lượng cao và chính sách đối với người có tài năng trong hoạt động công vụ</w:t>
            </w:r>
          </w:p>
          <w:p w14:paraId="5D4E7C4D" w14:textId="77777777" w:rsidR="0013785C" w:rsidRPr="007D651C" w:rsidRDefault="0013785C" w:rsidP="004F0C21">
            <w:pPr>
              <w:pBdr>
                <w:top w:val="none" w:sz="4" w:space="0" w:color="000000"/>
                <w:left w:val="none" w:sz="4" w:space="0" w:color="000000"/>
                <w:bottom w:val="none" w:sz="4" w:space="0" w:color="000000"/>
                <w:right w:val="none" w:sz="4" w:space="0" w:color="000000"/>
                <w:between w:val="none" w:sz="4" w:space="0" w:color="000000"/>
              </w:pBdr>
              <w:spacing w:before="120"/>
              <w:jc w:val="both"/>
              <w:rPr>
                <w:rFonts w:ascii="Times New Roman" w:eastAsia="Times New Roman" w:hAnsi="Times New Roman"/>
                <w:i/>
                <w:iCs/>
                <w:lang w:val="nl-NL"/>
              </w:rPr>
            </w:pPr>
            <w:r w:rsidRPr="007D651C">
              <w:rPr>
                <w:rFonts w:ascii="Times New Roman" w:eastAsia="Times New Roman" w:hAnsi="Times New Roman"/>
                <w:i/>
                <w:iCs/>
                <w:lang w:val="nl-NL"/>
              </w:rPr>
              <w:t>1. Nhà nước có cơ chế đặc biệt để thu hút chuyên gia, nhà khoa học, luật gia, luật sư giỏi, doanh nhân tiêu biểu, xuất sắc, sinh viên tốt nghiệp xuất sắc và nguồn nhân lực chất lượng cao khác vào làm việc trong cơ quan của Đảng Cộng sản Việt Nam, Nhà nước, Mặt trận Tổ quốc Việt Nam, các tổ chức chính trị - xã hội; chính sách trọng dụng, đãi ngộ xứng đáng đối với người có tài năng trong hoạt động công vụ phù hợp với điều kiện phát triển kinh tế - xã hội của đất nước.</w:t>
            </w:r>
          </w:p>
          <w:p w14:paraId="27037E0D" w14:textId="77777777" w:rsidR="0013785C" w:rsidRPr="007D651C" w:rsidRDefault="0013785C" w:rsidP="004F0C21">
            <w:pPr>
              <w:pBdr>
                <w:top w:val="none" w:sz="4" w:space="0" w:color="000000"/>
                <w:left w:val="none" w:sz="4" w:space="0" w:color="000000"/>
                <w:bottom w:val="none" w:sz="4" w:space="0" w:color="000000"/>
                <w:right w:val="none" w:sz="4" w:space="0" w:color="000000"/>
                <w:between w:val="none" w:sz="4" w:space="0" w:color="000000"/>
              </w:pBdr>
              <w:spacing w:before="120"/>
              <w:jc w:val="both"/>
              <w:rPr>
                <w:rFonts w:ascii="Times New Roman" w:eastAsia="Times New Roman" w:hAnsi="Times New Roman"/>
                <w:i/>
                <w:iCs/>
                <w:spacing w:val="-2"/>
                <w:lang w:val="nl-NL"/>
              </w:rPr>
            </w:pPr>
            <w:r w:rsidRPr="007D651C">
              <w:rPr>
                <w:rFonts w:ascii="Times New Roman" w:eastAsia="Times New Roman" w:hAnsi="Times New Roman"/>
                <w:i/>
                <w:iCs/>
                <w:spacing w:val="-2"/>
                <w:lang w:val="nl-NL"/>
              </w:rPr>
              <w:t>2. Người có tài năng trong hoạt động công vụ là cán bộ, công chức có phẩm chất chính trị, đạo đức tốt, có khát vọng cống hiến, phụng sự Tổ quốc và Nhân dân; có năng lực chuyên môn, kỹ năng vượt trội thể hiện qua giải quyết công việc; có tư duy đổi mới, năng động, sáng tạo, dám nghĩ, dám làm, dám chịu trách nhiệm vì lợi ích chung; đạt được những thành tích nổi bật trong hoạt động công vụ thể hiện bằng kết quả, sản phẩm cụ thể, mang lại giá trị, hiệu quả cao cho tổ chức, ngành, lĩnh vực trong phạm vi cả nước hoặc địa phương.</w:t>
            </w:r>
          </w:p>
          <w:p w14:paraId="4C0777A9" w14:textId="77777777" w:rsidR="0013785C" w:rsidRPr="007D651C" w:rsidRDefault="0013785C" w:rsidP="004F0C21">
            <w:pPr>
              <w:pBdr>
                <w:top w:val="none" w:sz="4" w:space="0" w:color="000000"/>
                <w:left w:val="none" w:sz="4" w:space="0" w:color="000000"/>
                <w:bottom w:val="none" w:sz="4" w:space="0" w:color="000000"/>
                <w:right w:val="none" w:sz="4" w:space="0" w:color="000000"/>
                <w:between w:val="none" w:sz="4" w:space="0" w:color="000000"/>
              </w:pBdr>
              <w:spacing w:before="120"/>
              <w:jc w:val="both"/>
              <w:rPr>
                <w:rFonts w:ascii="Times New Roman" w:eastAsia="Times New Roman" w:hAnsi="Times New Roman"/>
                <w:i/>
                <w:iCs/>
                <w:lang w:val="nl-NL"/>
              </w:rPr>
            </w:pPr>
            <w:r w:rsidRPr="007D651C">
              <w:rPr>
                <w:rFonts w:ascii="Times New Roman" w:eastAsia="Times New Roman" w:hAnsi="Times New Roman"/>
                <w:i/>
                <w:iCs/>
                <w:lang w:val="nl-NL"/>
              </w:rPr>
              <w:t xml:space="preserve">…4. Căn cứ vào quy định của Chính phủ và định hướng phát triển ngành, lĩnh vực chiến lược, trọng tâm của quốc gia, địa </w:t>
            </w:r>
            <w:r w:rsidRPr="007D651C">
              <w:rPr>
                <w:rFonts w:ascii="Times New Roman" w:eastAsia="Times New Roman" w:hAnsi="Times New Roman"/>
                <w:i/>
                <w:iCs/>
                <w:lang w:val="nl-NL"/>
              </w:rPr>
              <w:lastRenderedPageBreak/>
              <w:t>phương, người đứng đầu Bộ, ngành, cơ quan trung ương hoặc Hội đồng nhân dân cấp tỉnh xác định ngành, lĩnh vực cần ưu tiên sử dụng nguồn nhân lực chất lượng cao trong từng giai đoạn và quyết định chính sách đối với đối tượng quy định tại khoản 1 và khoản 2 Điều này thuộc phạm vi quản lý phù hợp với khả năng ngân sách và thẩm quyền quản lý cán bộ, công chức”.</w:t>
            </w:r>
          </w:p>
          <w:p w14:paraId="55867E69" w14:textId="77740A25" w:rsidR="0013785C" w:rsidRPr="007D651C" w:rsidRDefault="0013785C" w:rsidP="004F0C21">
            <w:pPr>
              <w:pBdr>
                <w:top w:val="none" w:sz="4" w:space="0" w:color="000000"/>
                <w:left w:val="none" w:sz="4" w:space="0" w:color="000000"/>
                <w:bottom w:val="none" w:sz="4" w:space="0" w:color="000000"/>
                <w:right w:val="none" w:sz="4" w:space="0" w:color="000000"/>
                <w:between w:val="none" w:sz="4" w:space="0" w:color="000000"/>
              </w:pBdr>
              <w:spacing w:before="120"/>
              <w:jc w:val="both"/>
              <w:rPr>
                <w:rFonts w:ascii="Times New Roman" w:eastAsia="Times New Roman" w:hAnsi="Times New Roman"/>
                <w:spacing w:val="-2"/>
                <w:lang w:val="nl-NL"/>
              </w:rPr>
            </w:pPr>
            <w:r w:rsidRPr="007D651C">
              <w:rPr>
                <w:rFonts w:ascii="Times New Roman" w:eastAsia="Times New Roman" w:hAnsi="Times New Roman"/>
                <w:spacing w:val="-2"/>
                <w:lang w:val="nl-NL"/>
              </w:rPr>
              <w:t xml:space="preserve">(2) Tại khoản 1, khoản 2 Điều 37 Nghị định số 171/2025/NĐ-CP của Chính phủ Quy định về đào tạo, bồi dưỡng công chức quy định nhiệm vụ, quyền hạn của Uỷ ban nhân dân tỉnh: </w:t>
            </w:r>
            <w:r w:rsidRPr="007D651C">
              <w:rPr>
                <w:rFonts w:ascii="Times New Roman" w:eastAsia="Times New Roman" w:hAnsi="Times New Roman"/>
                <w:i/>
                <w:iCs/>
                <w:spacing w:val="-2"/>
                <w:lang w:val="nl-NL"/>
              </w:rPr>
              <w:t>“1. Xây dựng, trình Hội đồng nhân dân cấp tỉnh ban hành Nghị quyết về chế độ, chính sách khuyến khích công chức không ngừng học tập, nâng cao trình độ, năng lực công tác; bố trí kinh phí bảo đảm thực hiện có hiệu quả công tác đào tạo, bồi dưỡng theo quy định”.</w:t>
            </w:r>
            <w:r w:rsidRPr="007D651C">
              <w:rPr>
                <w:rFonts w:ascii="Times New Roman" w:eastAsia="Times New Roman" w:hAnsi="Times New Roman"/>
                <w:spacing w:val="-2"/>
                <w:lang w:val="nl-NL"/>
              </w:rPr>
              <w:t xml:space="preserve"> </w:t>
            </w:r>
          </w:p>
          <w:p w14:paraId="6A322190" w14:textId="1BCB72A8" w:rsidR="00FC01F3" w:rsidRPr="007D651C" w:rsidRDefault="0013785C" w:rsidP="004F0C21">
            <w:pPr>
              <w:pBdr>
                <w:top w:val="none" w:sz="4" w:space="0" w:color="000000"/>
                <w:left w:val="none" w:sz="4" w:space="0" w:color="000000"/>
                <w:bottom w:val="none" w:sz="4" w:space="0" w:color="000000"/>
                <w:right w:val="none" w:sz="4" w:space="0" w:color="000000"/>
                <w:between w:val="none" w:sz="4" w:space="0" w:color="000000"/>
              </w:pBdr>
              <w:spacing w:before="120"/>
              <w:jc w:val="both"/>
              <w:rPr>
                <w:rFonts w:ascii="Times New Roman" w:eastAsia="Times New Roman" w:hAnsi="Times New Roman"/>
                <w:b/>
                <w:i/>
                <w:iCs/>
                <w:lang w:val="nl-NL"/>
              </w:rPr>
            </w:pPr>
            <w:r w:rsidRPr="007D651C">
              <w:rPr>
                <w:rFonts w:ascii="Times New Roman" w:eastAsia="Times New Roman" w:hAnsi="Times New Roman"/>
                <w:lang w:val="nl-NL"/>
              </w:rPr>
              <w:t xml:space="preserve">(3) Tại khoản 2 Điều 8 Nghị định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xã hội, quy định: </w:t>
            </w:r>
            <w:r w:rsidRPr="007D651C">
              <w:rPr>
                <w:rFonts w:ascii="Times New Roman" w:eastAsia="Times New Roman" w:hAnsi="Times New Roman"/>
                <w:i/>
                <w:iCs/>
                <w:lang w:val="nl-NL"/>
              </w:rPr>
              <w:t>“Căn cứ vào khả năng cân đối ngân sách của địa phương, Ủy ban nhân dân cấp tỉnh trình Hội đồng nhân dân cùng cấp xem xét, quyết định bổ sung chính sách hỗ trợ đối với sinh viên tốt nghiệp xuất sắc, nhà khoa học trẻ tài năng khi tuyển dụng vào làm việc trong cơ quan, tổ chức, đơn vị thuộc phạm vi quản lý”.</w:t>
            </w:r>
          </w:p>
        </w:tc>
        <w:tc>
          <w:tcPr>
            <w:tcW w:w="3686" w:type="dxa"/>
          </w:tcPr>
          <w:p w14:paraId="203E89F3" w14:textId="77777777" w:rsidR="00FC01F3" w:rsidRPr="007D651C" w:rsidRDefault="00FC01F3" w:rsidP="00FC01F3">
            <w:pPr>
              <w:spacing w:before="120" w:after="120"/>
              <w:jc w:val="both"/>
              <w:rPr>
                <w:rFonts w:asciiTheme="majorHAnsi" w:hAnsiTheme="majorHAnsi" w:cstheme="majorHAnsi"/>
                <w:lang w:val="vi-VN"/>
              </w:rPr>
            </w:pPr>
            <w:r w:rsidRPr="007D651C">
              <w:rPr>
                <w:rFonts w:asciiTheme="majorHAnsi" w:hAnsiTheme="majorHAnsi" w:cstheme="majorHAnsi"/>
                <w:lang w:val="vi-VN"/>
              </w:rPr>
              <w:lastRenderedPageBreak/>
              <w:t xml:space="preserve">- Khoản 1 Điều 1 Luật Tổ chức chính quyền địa phương ngày 16/6/2025, quy định: </w:t>
            </w:r>
          </w:p>
          <w:p w14:paraId="1A3EF3B1" w14:textId="77777777" w:rsidR="00FC01F3" w:rsidRPr="007D651C" w:rsidRDefault="00FC01F3" w:rsidP="00FC01F3">
            <w:pPr>
              <w:spacing w:before="120" w:after="120"/>
              <w:jc w:val="both"/>
              <w:rPr>
                <w:rFonts w:asciiTheme="majorHAnsi" w:hAnsiTheme="majorHAnsi" w:cstheme="majorHAnsi"/>
                <w:i/>
                <w:iCs/>
                <w:lang w:val="vi-VN"/>
              </w:rPr>
            </w:pPr>
            <w:r w:rsidRPr="007D651C">
              <w:rPr>
                <w:rFonts w:asciiTheme="majorHAnsi" w:hAnsiTheme="majorHAnsi" w:cstheme="majorHAnsi"/>
                <w:i/>
                <w:iCs/>
                <w:lang w:val="vi-VN"/>
              </w:rPr>
              <w:t xml:space="preserve">“Điều 1. Đơn vị hành chính của nước Cộng hòa xã hội chủ nghĩa Việt Nam được tổ chức thành 02 cấp, gồm có: </w:t>
            </w:r>
          </w:p>
          <w:p w14:paraId="7C177A8E" w14:textId="77777777" w:rsidR="00FC01F3" w:rsidRPr="007D651C" w:rsidRDefault="00FC01F3" w:rsidP="00FC01F3">
            <w:pPr>
              <w:spacing w:before="120" w:after="120"/>
              <w:jc w:val="both"/>
              <w:rPr>
                <w:rFonts w:asciiTheme="majorHAnsi" w:hAnsiTheme="majorHAnsi" w:cstheme="majorHAnsi"/>
                <w:i/>
                <w:iCs/>
                <w:lang w:val="vi-VN"/>
              </w:rPr>
            </w:pPr>
            <w:r w:rsidRPr="007D651C">
              <w:rPr>
                <w:rFonts w:asciiTheme="majorHAnsi" w:hAnsiTheme="majorHAnsi" w:cstheme="majorHAnsi"/>
                <w:i/>
                <w:iCs/>
                <w:lang w:val="vi-VN"/>
              </w:rPr>
              <w:t>a) Tỉnh, thành phố trực thuộc trung ương (sau đây gọi chung là cấp tỉnh);</w:t>
            </w:r>
          </w:p>
          <w:p w14:paraId="2BC58EB3" w14:textId="77777777" w:rsidR="00FC01F3" w:rsidRPr="007D651C" w:rsidRDefault="00FC01F3" w:rsidP="00FC01F3">
            <w:pPr>
              <w:spacing w:before="120" w:after="120"/>
              <w:jc w:val="both"/>
              <w:rPr>
                <w:rFonts w:asciiTheme="majorHAnsi" w:hAnsiTheme="majorHAnsi" w:cstheme="majorHAnsi"/>
                <w:lang w:val="vi-VN"/>
              </w:rPr>
            </w:pPr>
            <w:r w:rsidRPr="007D651C">
              <w:rPr>
                <w:rFonts w:asciiTheme="majorHAnsi" w:hAnsiTheme="majorHAnsi" w:cstheme="majorHAnsi"/>
                <w:i/>
                <w:iCs/>
                <w:lang w:val="vi-VN"/>
              </w:rPr>
              <w:t>b) Xã, phường, đặc khu trực thuộc cấp tỉnh (sau đây gọi chung là cấp xã)”</w:t>
            </w:r>
            <w:r w:rsidRPr="007D651C">
              <w:rPr>
                <w:rFonts w:asciiTheme="majorHAnsi" w:hAnsiTheme="majorHAnsi" w:cstheme="majorHAnsi"/>
                <w:lang w:val="vi-VN"/>
              </w:rPr>
              <w:t xml:space="preserve">. </w:t>
            </w:r>
          </w:p>
          <w:p w14:paraId="55003F45" w14:textId="77777777" w:rsidR="00FC01F3" w:rsidRPr="007D651C" w:rsidRDefault="00FC01F3" w:rsidP="00FC01F3">
            <w:pPr>
              <w:spacing w:before="120" w:after="120"/>
              <w:jc w:val="both"/>
              <w:rPr>
                <w:rFonts w:asciiTheme="majorHAnsi" w:hAnsiTheme="majorHAnsi" w:cstheme="majorHAnsi"/>
                <w:spacing w:val="4"/>
                <w:lang w:val="vi-VN"/>
              </w:rPr>
            </w:pPr>
            <w:r w:rsidRPr="007D651C">
              <w:rPr>
                <w:rFonts w:asciiTheme="majorHAnsi" w:hAnsiTheme="majorHAnsi" w:cstheme="majorHAnsi"/>
                <w:spacing w:val="-4"/>
                <w:lang w:val="vi-VN"/>
              </w:rPr>
              <w:t>- Điểm c khoản 2 Điều 21 Luật Ban hành văn bản quy phạm pháp luật ngày 19/02/2025 (đã được sửa đổi, bổ sung tại khoản 3 Điều 1 Luật sửa đổi, bổ sung một số điều của Luật Ban hành văn bản quy phạm pháp luật ngày 23/6/2025), quy định: “</w:t>
            </w:r>
            <w:r w:rsidRPr="007D651C">
              <w:rPr>
                <w:rFonts w:asciiTheme="majorHAnsi" w:hAnsiTheme="majorHAnsi" w:cstheme="majorHAnsi"/>
                <w:i/>
                <w:iCs/>
                <w:spacing w:val="4"/>
                <w:lang w:val="vi-VN"/>
              </w:rPr>
              <w:t xml:space="preserve">c) Biện pháp thực hiện chức năng quản lý nhà nước ở địa </w:t>
            </w:r>
            <w:r w:rsidRPr="007D651C">
              <w:rPr>
                <w:rFonts w:asciiTheme="majorHAnsi" w:hAnsiTheme="majorHAnsi" w:cstheme="majorHAnsi"/>
                <w:i/>
                <w:iCs/>
                <w:spacing w:val="4"/>
                <w:lang w:val="vi-VN"/>
              </w:rPr>
              <w:lastRenderedPageBreak/>
              <w:t>phương; phân cấp và thực hiện nhiệm vụ, quyền hạn được phân cấp”</w:t>
            </w:r>
            <w:r w:rsidRPr="007D651C">
              <w:rPr>
                <w:rFonts w:asciiTheme="majorHAnsi" w:hAnsiTheme="majorHAnsi" w:cstheme="majorHAnsi"/>
                <w:spacing w:val="4"/>
                <w:lang w:val="vi-VN"/>
              </w:rPr>
              <w:t>.</w:t>
            </w:r>
          </w:p>
          <w:p w14:paraId="05881688" w14:textId="77777777" w:rsidR="00C23D45" w:rsidRPr="007D651C" w:rsidRDefault="00FC01F3" w:rsidP="00D1776C">
            <w:pPr>
              <w:spacing w:before="120" w:after="120"/>
              <w:jc w:val="both"/>
              <w:rPr>
                <w:rFonts w:asciiTheme="majorHAnsi" w:hAnsiTheme="majorHAnsi" w:cstheme="majorHAnsi"/>
                <w:i/>
                <w:spacing w:val="4"/>
                <w:lang w:val="vi-VN"/>
              </w:rPr>
            </w:pPr>
            <w:r w:rsidRPr="007D651C">
              <w:rPr>
                <w:rFonts w:asciiTheme="majorHAnsi" w:hAnsiTheme="majorHAnsi" w:cstheme="majorHAnsi"/>
                <w:spacing w:val="4"/>
                <w:lang w:val="vi-VN"/>
              </w:rPr>
              <w:t>- Điểm b khoản 2 Điều 54 Luật Ban hành văn bản quy phạm pháp luật ngày 19/02/2025 (đã được sửa đổi, bổ sung tại điểm b khoản 20 Điều 1 Luật sửa đổi, bổ sung một số điều của Luật Ban hành văn bản quy phạm pháp luật ngày 23/6/2025), quy định: “</w:t>
            </w:r>
            <w:r w:rsidRPr="007D651C">
              <w:rPr>
                <w:rFonts w:asciiTheme="majorHAnsi" w:hAnsiTheme="majorHAnsi" w:cstheme="majorHAnsi"/>
                <w:i/>
                <w:spacing w:val="4"/>
                <w:lang w:val="vi-VN"/>
              </w:rPr>
              <w:t>b) Trường hợp nhiều đơn vị hành chính được nhập thành một đơn vị hành chính mới cùng cấp thì văn bản quy phạm pháp luật của … Ủy ban nhân dân… của đơn vị hành chính được nhập tiếp tục có hiệu lực trong phạm vi đơn vị hành chính đó cho đến khi … Ủy ban nhân dân … của đơn vị hành chính mới…ban hành văn bản quy phạm pháp luật mới;”</w:t>
            </w:r>
          </w:p>
        </w:tc>
        <w:tc>
          <w:tcPr>
            <w:tcW w:w="2268" w:type="dxa"/>
          </w:tcPr>
          <w:p w14:paraId="50D5186D" w14:textId="62622CE1" w:rsidR="00C23D45" w:rsidRPr="007D651C" w:rsidRDefault="00FC01F3" w:rsidP="00142A7F">
            <w:pPr>
              <w:spacing w:before="120" w:after="120"/>
              <w:jc w:val="both"/>
              <w:rPr>
                <w:rFonts w:asciiTheme="majorHAnsi" w:hAnsiTheme="majorHAnsi" w:cstheme="majorHAnsi"/>
                <w:spacing w:val="-22"/>
                <w:lang w:val="nl-NL"/>
              </w:rPr>
            </w:pPr>
            <w:r w:rsidRPr="007D651C">
              <w:rPr>
                <w:rFonts w:asciiTheme="majorHAnsi" w:hAnsiTheme="majorHAnsi" w:cstheme="majorHAnsi"/>
                <w:spacing w:val="-22"/>
                <w:lang w:val="nl-NL"/>
              </w:rPr>
              <w:lastRenderedPageBreak/>
              <w:t xml:space="preserve">Ban hành văn bản </w:t>
            </w:r>
            <w:r w:rsidR="00920A45" w:rsidRPr="007D651C">
              <w:rPr>
                <w:rFonts w:asciiTheme="majorHAnsi" w:hAnsiTheme="majorHAnsi" w:cstheme="majorHAnsi"/>
                <w:spacing w:val="-22"/>
                <w:lang w:val="nl-NL"/>
              </w:rPr>
              <w:br/>
            </w:r>
            <w:r w:rsidRPr="007D651C">
              <w:rPr>
                <w:rFonts w:asciiTheme="majorHAnsi" w:hAnsiTheme="majorHAnsi" w:cstheme="majorHAnsi"/>
                <w:spacing w:val="-22"/>
                <w:lang w:val="nl-NL"/>
              </w:rPr>
              <w:t xml:space="preserve">quy phạm pháp luật </w:t>
            </w:r>
            <w:r w:rsidR="000C50C3" w:rsidRPr="007D651C">
              <w:rPr>
                <w:rFonts w:asciiTheme="majorHAnsi" w:hAnsiTheme="majorHAnsi" w:cstheme="majorHAnsi"/>
                <w:spacing w:val="-22"/>
                <w:lang w:val="nl-NL"/>
              </w:rPr>
              <w:t>thay thế</w:t>
            </w:r>
            <w:r w:rsidR="00142A7F" w:rsidRPr="007D651C">
              <w:rPr>
                <w:rFonts w:asciiTheme="majorHAnsi" w:eastAsia="Times New Roman" w:hAnsiTheme="majorHAnsi"/>
                <w:spacing w:val="-22"/>
              </w:rPr>
              <w:t xml:space="preserve"> Nghị quyết số 12/2021/NQ-HĐND ngày 20/12/2021 (được sửa đổi, bổ sung tại Nghị quyết số 03/2023/NQ-HĐND ngày 06/7/2023)</w:t>
            </w:r>
          </w:p>
        </w:tc>
      </w:tr>
    </w:tbl>
    <w:p w14:paraId="7D09D63A" w14:textId="6F0178EB" w:rsidR="00C23D45" w:rsidRPr="007D651C" w:rsidRDefault="00920A45" w:rsidP="00920A45">
      <w:pPr>
        <w:spacing w:before="120" w:after="120"/>
        <w:ind w:firstLine="720"/>
        <w:jc w:val="both"/>
        <w:rPr>
          <w:rFonts w:asciiTheme="majorHAnsi" w:hAnsiTheme="majorHAnsi" w:cstheme="majorHAnsi"/>
          <w:b/>
          <w:spacing w:val="4"/>
        </w:rPr>
      </w:pPr>
      <w:r w:rsidRPr="007D651C">
        <w:rPr>
          <w:rFonts w:asciiTheme="majorHAnsi" w:hAnsiTheme="majorHAnsi" w:cstheme="majorHAnsi"/>
          <w:b/>
          <w:spacing w:val="4"/>
          <w:lang w:val="vi-VN"/>
        </w:rPr>
        <w:t>3. Điều ước quốc tế có liên quan đến</w:t>
      </w:r>
      <w:r w:rsidRPr="007D651C">
        <w:rPr>
          <w:rFonts w:asciiTheme="majorHAnsi" w:hAnsiTheme="majorHAnsi" w:cstheme="majorHAnsi"/>
          <w:b/>
          <w:spacing w:val="4"/>
          <w:lang w:val="nl-NL"/>
        </w:rPr>
        <w:t xml:space="preserve"> </w:t>
      </w:r>
      <w:r w:rsidRPr="007D651C">
        <w:rPr>
          <w:rFonts w:asciiTheme="majorHAnsi" w:hAnsiTheme="majorHAnsi" w:cstheme="majorHAnsi"/>
          <w:b/>
          <w:spacing w:val="4"/>
          <w:lang w:val="vi-VN"/>
        </w:rPr>
        <w:t>dự thảo</w:t>
      </w:r>
      <w:r w:rsidR="00855895" w:rsidRPr="007D651C">
        <w:rPr>
          <w:rFonts w:asciiTheme="majorHAnsi" w:hAnsiTheme="majorHAnsi" w:cstheme="majorHAnsi"/>
          <w:b/>
          <w:spacing w:val="4"/>
        </w:rPr>
        <w:t>: Không.</w:t>
      </w:r>
    </w:p>
    <w:sectPr w:rsidR="00C23D45" w:rsidRPr="007D651C" w:rsidSect="004F0C21">
      <w:pgSz w:w="16838" w:h="11906" w:orient="landscape"/>
      <w:pgMar w:top="1134" w:right="851"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6D1F" w14:textId="77777777" w:rsidR="009D1A45" w:rsidRDefault="009D1A45" w:rsidP="00D77124">
      <w:r>
        <w:separator/>
      </w:r>
    </w:p>
  </w:endnote>
  <w:endnote w:type="continuationSeparator" w:id="0">
    <w:p w14:paraId="75AC8B0C" w14:textId="77777777" w:rsidR="009D1A45" w:rsidRDefault="009D1A45" w:rsidP="00D7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CE13" w14:textId="77777777" w:rsidR="009D1A45" w:rsidRDefault="009D1A45" w:rsidP="00D77124">
      <w:r>
        <w:separator/>
      </w:r>
    </w:p>
  </w:footnote>
  <w:footnote w:type="continuationSeparator" w:id="0">
    <w:p w14:paraId="02B6B7D1" w14:textId="77777777" w:rsidR="009D1A45" w:rsidRDefault="009D1A45" w:rsidP="00D77124">
      <w:r>
        <w:continuationSeparator/>
      </w:r>
    </w:p>
  </w:footnote>
  <w:footnote w:id="1">
    <w:p w14:paraId="0A6617A3" w14:textId="7C44A75A" w:rsidR="007F6D5D" w:rsidRPr="00B75942" w:rsidRDefault="007F6D5D">
      <w:pPr>
        <w:pStyle w:val="FootnoteText"/>
      </w:pPr>
      <w:r w:rsidRPr="00B75942">
        <w:rPr>
          <w:rStyle w:val="FootnoteReference"/>
        </w:rPr>
        <w:footnoteRef/>
      </w:r>
      <w:r w:rsidRPr="00B75942">
        <w:t xml:space="preserve"> Gồm: Tiến sĩ, thạc sĩ; Bác sĩ chuyên khoa I, Bác sĩ chuyên khoa II; Bác sĩ nội trú; Bác sĩ đa khoa (hệ chính quy); sinh viên tốt nghiệp loại giỏi, xuất sắc, cán bộ khoa học trẻ.</w:t>
      </w:r>
    </w:p>
  </w:footnote>
  <w:footnote w:id="2">
    <w:p w14:paraId="034E80A9" w14:textId="1E14E9B7" w:rsidR="00162BF4" w:rsidRDefault="00162BF4" w:rsidP="00B75942">
      <w:pPr>
        <w:pStyle w:val="FootnoteText"/>
        <w:ind w:firstLine="720"/>
        <w:jc w:val="both"/>
      </w:pPr>
      <w:r>
        <w:rPr>
          <w:rStyle w:val="FootnoteReference"/>
        </w:rPr>
        <w:footnoteRef/>
      </w:r>
      <w:r>
        <w:t xml:space="preserve"> </w:t>
      </w:r>
      <w:r w:rsidRPr="00BB7A77">
        <w:t>Sở: Giáo dục và Đào tạo 39 người, Y tế 24 người, Văn hoá, Thể thao và Du lịch 01 người, Nông nghiệp và Môi trường 04 người; Đại học Tân Trào 01 người; Đài Phát thanh và Truyền hình (cũ) 01 người; UBND huyện: Chiêm Hoá (cũ) 3</w:t>
      </w:r>
      <w:r w:rsidR="00871463">
        <w:t>8</w:t>
      </w:r>
      <w:r w:rsidRPr="00BB7A77">
        <w:t xml:space="preserve"> người, Hàm Yên (cũ) 32 người), Yên Sơn (cũ) 28 người, Sơn Dương (cũ) 25 người, Lâm Bình (cũ) 08 người, Na Hang (cũ) 02 người, thành phố Tuyên Quang (cũ) 26 người; Ban Quản lý các khu du khu lịch 01 người</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1044"/>
      <w:docPartObj>
        <w:docPartGallery w:val="Page Numbers (Top of Page)"/>
        <w:docPartUnique/>
      </w:docPartObj>
    </w:sdtPr>
    <w:sdtEndPr>
      <w:rPr>
        <w:rFonts w:asciiTheme="majorHAnsi" w:hAnsiTheme="majorHAnsi" w:cstheme="majorHAnsi"/>
        <w:noProof/>
      </w:rPr>
    </w:sdtEndPr>
    <w:sdtContent>
      <w:p w14:paraId="397BA6DE" w14:textId="6B8956E6" w:rsidR="00D77124" w:rsidRPr="00D77124" w:rsidRDefault="00D77124">
        <w:pPr>
          <w:pStyle w:val="Header"/>
          <w:jc w:val="center"/>
          <w:rPr>
            <w:rFonts w:asciiTheme="majorHAnsi" w:hAnsiTheme="majorHAnsi" w:cstheme="majorHAnsi"/>
          </w:rPr>
        </w:pPr>
        <w:r w:rsidRPr="00D77124">
          <w:rPr>
            <w:rFonts w:asciiTheme="majorHAnsi" w:hAnsiTheme="majorHAnsi" w:cstheme="majorHAnsi"/>
          </w:rPr>
          <w:fldChar w:fldCharType="begin"/>
        </w:r>
        <w:r w:rsidRPr="00D77124">
          <w:rPr>
            <w:rFonts w:asciiTheme="majorHAnsi" w:hAnsiTheme="majorHAnsi" w:cstheme="majorHAnsi"/>
          </w:rPr>
          <w:instrText xml:space="preserve"> PAGE   \* MERGEFORMAT </w:instrText>
        </w:r>
        <w:r w:rsidRPr="00D77124">
          <w:rPr>
            <w:rFonts w:asciiTheme="majorHAnsi" w:hAnsiTheme="majorHAnsi" w:cstheme="majorHAnsi"/>
          </w:rPr>
          <w:fldChar w:fldCharType="separate"/>
        </w:r>
        <w:r w:rsidR="00AB4C6E">
          <w:rPr>
            <w:rFonts w:asciiTheme="majorHAnsi" w:hAnsiTheme="majorHAnsi" w:cstheme="majorHAnsi"/>
            <w:noProof/>
          </w:rPr>
          <w:t>4</w:t>
        </w:r>
        <w:r w:rsidRPr="00D77124">
          <w:rPr>
            <w:rFonts w:asciiTheme="majorHAnsi" w:hAnsiTheme="majorHAnsi" w:cstheme="majorHAnsi"/>
            <w:noProof/>
          </w:rPr>
          <w:fldChar w:fldCharType="end"/>
        </w:r>
      </w:p>
    </w:sdtContent>
  </w:sdt>
  <w:p w14:paraId="57BD6FB5" w14:textId="77777777" w:rsidR="00D77124" w:rsidRDefault="00D77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1F6"/>
    <w:multiLevelType w:val="hybridMultilevel"/>
    <w:tmpl w:val="227E8408"/>
    <w:lvl w:ilvl="0" w:tplc="9960744C">
      <w:start w:val="1"/>
      <w:numFmt w:val="decimal"/>
      <w:lvlText w:val="%1."/>
      <w:lvlJc w:val="left"/>
      <w:pPr>
        <w:ind w:left="2" w:hanging="29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EC497BE">
      <w:numFmt w:val="bullet"/>
      <w:lvlText w:val="•"/>
      <w:lvlJc w:val="left"/>
      <w:pPr>
        <w:ind w:left="921" w:hanging="296"/>
      </w:pPr>
      <w:rPr>
        <w:rFonts w:hint="default"/>
        <w:lang w:val="vi" w:eastAsia="en-US" w:bidi="ar-SA"/>
      </w:rPr>
    </w:lvl>
    <w:lvl w:ilvl="2" w:tplc="BE8A4534">
      <w:numFmt w:val="bullet"/>
      <w:lvlText w:val="•"/>
      <w:lvlJc w:val="left"/>
      <w:pPr>
        <w:ind w:left="1842" w:hanging="296"/>
      </w:pPr>
      <w:rPr>
        <w:rFonts w:hint="default"/>
        <w:lang w:val="vi" w:eastAsia="en-US" w:bidi="ar-SA"/>
      </w:rPr>
    </w:lvl>
    <w:lvl w:ilvl="3" w:tplc="2DE882FA">
      <w:numFmt w:val="bullet"/>
      <w:lvlText w:val="•"/>
      <w:lvlJc w:val="left"/>
      <w:pPr>
        <w:ind w:left="2764" w:hanging="296"/>
      </w:pPr>
      <w:rPr>
        <w:rFonts w:hint="default"/>
        <w:lang w:val="vi" w:eastAsia="en-US" w:bidi="ar-SA"/>
      </w:rPr>
    </w:lvl>
    <w:lvl w:ilvl="4" w:tplc="2522D860">
      <w:numFmt w:val="bullet"/>
      <w:lvlText w:val="•"/>
      <w:lvlJc w:val="left"/>
      <w:pPr>
        <w:ind w:left="3685" w:hanging="296"/>
      </w:pPr>
      <w:rPr>
        <w:rFonts w:hint="default"/>
        <w:lang w:val="vi" w:eastAsia="en-US" w:bidi="ar-SA"/>
      </w:rPr>
    </w:lvl>
    <w:lvl w:ilvl="5" w:tplc="59F8E8A6">
      <w:numFmt w:val="bullet"/>
      <w:lvlText w:val="•"/>
      <w:lvlJc w:val="left"/>
      <w:pPr>
        <w:ind w:left="4607" w:hanging="296"/>
      </w:pPr>
      <w:rPr>
        <w:rFonts w:hint="default"/>
        <w:lang w:val="vi" w:eastAsia="en-US" w:bidi="ar-SA"/>
      </w:rPr>
    </w:lvl>
    <w:lvl w:ilvl="6" w:tplc="BCDE2CFE">
      <w:numFmt w:val="bullet"/>
      <w:lvlText w:val="•"/>
      <w:lvlJc w:val="left"/>
      <w:pPr>
        <w:ind w:left="5528" w:hanging="296"/>
      </w:pPr>
      <w:rPr>
        <w:rFonts w:hint="default"/>
        <w:lang w:val="vi" w:eastAsia="en-US" w:bidi="ar-SA"/>
      </w:rPr>
    </w:lvl>
    <w:lvl w:ilvl="7" w:tplc="5010084C">
      <w:numFmt w:val="bullet"/>
      <w:lvlText w:val="•"/>
      <w:lvlJc w:val="left"/>
      <w:pPr>
        <w:ind w:left="6450" w:hanging="296"/>
      </w:pPr>
      <w:rPr>
        <w:rFonts w:hint="default"/>
        <w:lang w:val="vi" w:eastAsia="en-US" w:bidi="ar-SA"/>
      </w:rPr>
    </w:lvl>
    <w:lvl w:ilvl="8" w:tplc="9244C4DC">
      <w:numFmt w:val="bullet"/>
      <w:lvlText w:val="•"/>
      <w:lvlJc w:val="left"/>
      <w:pPr>
        <w:ind w:left="7371" w:hanging="296"/>
      </w:pPr>
      <w:rPr>
        <w:rFonts w:hint="default"/>
        <w:lang w:val="vi" w:eastAsia="en-US" w:bidi="ar-SA"/>
      </w:rPr>
    </w:lvl>
  </w:abstractNum>
  <w:abstractNum w:abstractNumId="1" w15:restartNumberingAfterBreak="0">
    <w:nsid w:val="1BAD6B31"/>
    <w:multiLevelType w:val="hybridMultilevel"/>
    <w:tmpl w:val="D23CFB94"/>
    <w:lvl w:ilvl="0" w:tplc="A8CC3496">
      <w:start w:val="4"/>
      <w:numFmt w:val="bullet"/>
      <w:lvlText w:val="-"/>
      <w:lvlJc w:val="left"/>
      <w:pPr>
        <w:ind w:left="1080" w:hanging="360"/>
      </w:pPr>
      <w:rPr>
        <w:rFonts w:ascii="Times New Roman" w:eastAsia="Calibri" w:hAnsi="Times New Roman" w:cs="Times New Roman" w:hint="default"/>
        <w:b w:val="0"/>
        <w:color w:val="7030A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67F26"/>
    <w:multiLevelType w:val="multilevel"/>
    <w:tmpl w:val="68CA8C6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C2C56C0"/>
    <w:multiLevelType w:val="hybridMultilevel"/>
    <w:tmpl w:val="26F4C4B4"/>
    <w:lvl w:ilvl="0" w:tplc="585AD1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E326EDB"/>
    <w:multiLevelType w:val="hybridMultilevel"/>
    <w:tmpl w:val="86FCD066"/>
    <w:lvl w:ilvl="0" w:tplc="E68E80CC">
      <w:start w:val="1"/>
      <w:numFmt w:val="decimal"/>
      <w:lvlText w:val="%1."/>
      <w:lvlJc w:val="left"/>
      <w:pPr>
        <w:ind w:left="1407" w:hanging="840"/>
      </w:pPr>
      <w:rPr>
        <w:rFonts w:ascii="Times New Roman" w:eastAsia="Calibri" w:hAnsi="Times New Roman" w:cs="Times New Roman"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7C4713E7"/>
    <w:multiLevelType w:val="hybridMultilevel"/>
    <w:tmpl w:val="D0BAF382"/>
    <w:lvl w:ilvl="0" w:tplc="3516FFAA">
      <w:start w:val="1"/>
      <w:numFmt w:val="decimal"/>
      <w:lvlText w:val="%1."/>
      <w:lvlJc w:val="left"/>
      <w:pPr>
        <w:ind w:left="927" w:hanging="360"/>
      </w:pPr>
      <w:rPr>
        <w:rFonts w:hint="default"/>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7E457B2F"/>
    <w:multiLevelType w:val="hybridMultilevel"/>
    <w:tmpl w:val="852C7ECC"/>
    <w:lvl w:ilvl="0" w:tplc="406486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7125296">
    <w:abstractNumId w:val="5"/>
  </w:num>
  <w:num w:numId="2" w16cid:durableId="1361666839">
    <w:abstractNumId w:val="4"/>
  </w:num>
  <w:num w:numId="3" w16cid:durableId="1320688763">
    <w:abstractNumId w:val="0"/>
  </w:num>
  <w:num w:numId="4" w16cid:durableId="1682930768">
    <w:abstractNumId w:val="2"/>
  </w:num>
  <w:num w:numId="5" w16cid:durableId="1124687724">
    <w:abstractNumId w:val="3"/>
  </w:num>
  <w:num w:numId="6" w16cid:durableId="238099522">
    <w:abstractNumId w:val="6"/>
  </w:num>
  <w:num w:numId="7" w16cid:durableId="9123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5C"/>
    <w:rsid w:val="00001BB3"/>
    <w:rsid w:val="0001340B"/>
    <w:rsid w:val="000213DD"/>
    <w:rsid w:val="000533BB"/>
    <w:rsid w:val="00070359"/>
    <w:rsid w:val="00071BF5"/>
    <w:rsid w:val="0007290C"/>
    <w:rsid w:val="00091CF3"/>
    <w:rsid w:val="000947B6"/>
    <w:rsid w:val="00094CD1"/>
    <w:rsid w:val="000B4121"/>
    <w:rsid w:val="000B5ADD"/>
    <w:rsid w:val="000C50C3"/>
    <w:rsid w:val="000C7DAB"/>
    <w:rsid w:val="000E5A48"/>
    <w:rsid w:val="000E630E"/>
    <w:rsid w:val="000E7406"/>
    <w:rsid w:val="00102E9B"/>
    <w:rsid w:val="0010622C"/>
    <w:rsid w:val="00110948"/>
    <w:rsid w:val="00110D0F"/>
    <w:rsid w:val="0013785C"/>
    <w:rsid w:val="0014066A"/>
    <w:rsid w:val="00142A7F"/>
    <w:rsid w:val="00155B12"/>
    <w:rsid w:val="00155C92"/>
    <w:rsid w:val="00162BF4"/>
    <w:rsid w:val="0017003D"/>
    <w:rsid w:val="00183977"/>
    <w:rsid w:val="001878EA"/>
    <w:rsid w:val="00190C3B"/>
    <w:rsid w:val="00193412"/>
    <w:rsid w:val="0019459A"/>
    <w:rsid w:val="001977DF"/>
    <w:rsid w:val="001A48C1"/>
    <w:rsid w:val="001A6B32"/>
    <w:rsid w:val="001C2592"/>
    <w:rsid w:val="001E0894"/>
    <w:rsid w:val="001E1914"/>
    <w:rsid w:val="00240B6D"/>
    <w:rsid w:val="002501F8"/>
    <w:rsid w:val="002507EF"/>
    <w:rsid w:val="00252CA9"/>
    <w:rsid w:val="00254C49"/>
    <w:rsid w:val="00257F8E"/>
    <w:rsid w:val="00261D4A"/>
    <w:rsid w:val="00267422"/>
    <w:rsid w:val="00274829"/>
    <w:rsid w:val="00283240"/>
    <w:rsid w:val="002910CA"/>
    <w:rsid w:val="00296564"/>
    <w:rsid w:val="002A5DD6"/>
    <w:rsid w:val="002B1A7A"/>
    <w:rsid w:val="002B6E49"/>
    <w:rsid w:val="002C59FC"/>
    <w:rsid w:val="002C6D44"/>
    <w:rsid w:val="002E72CC"/>
    <w:rsid w:val="0030178D"/>
    <w:rsid w:val="003252E9"/>
    <w:rsid w:val="00327D5C"/>
    <w:rsid w:val="00365F0F"/>
    <w:rsid w:val="00372E36"/>
    <w:rsid w:val="003744F6"/>
    <w:rsid w:val="00386926"/>
    <w:rsid w:val="003C5579"/>
    <w:rsid w:val="003D1083"/>
    <w:rsid w:val="003F0676"/>
    <w:rsid w:val="003F06CF"/>
    <w:rsid w:val="003F2676"/>
    <w:rsid w:val="003F56BB"/>
    <w:rsid w:val="003F6295"/>
    <w:rsid w:val="003F798C"/>
    <w:rsid w:val="00400763"/>
    <w:rsid w:val="00427728"/>
    <w:rsid w:val="004440A6"/>
    <w:rsid w:val="00446E81"/>
    <w:rsid w:val="004540D3"/>
    <w:rsid w:val="0046614D"/>
    <w:rsid w:val="0046678B"/>
    <w:rsid w:val="0047285C"/>
    <w:rsid w:val="00476FEB"/>
    <w:rsid w:val="0048402D"/>
    <w:rsid w:val="004930B2"/>
    <w:rsid w:val="0049525C"/>
    <w:rsid w:val="004A45C7"/>
    <w:rsid w:val="004A7D0D"/>
    <w:rsid w:val="004C35E0"/>
    <w:rsid w:val="004C6266"/>
    <w:rsid w:val="004D6BB6"/>
    <w:rsid w:val="004E40B0"/>
    <w:rsid w:val="004F07FF"/>
    <w:rsid w:val="004F0C21"/>
    <w:rsid w:val="00507BF5"/>
    <w:rsid w:val="00514823"/>
    <w:rsid w:val="00521CCF"/>
    <w:rsid w:val="00532760"/>
    <w:rsid w:val="0053301C"/>
    <w:rsid w:val="00541FF3"/>
    <w:rsid w:val="0055176E"/>
    <w:rsid w:val="0055569C"/>
    <w:rsid w:val="00556027"/>
    <w:rsid w:val="005617BE"/>
    <w:rsid w:val="0056579F"/>
    <w:rsid w:val="00567A40"/>
    <w:rsid w:val="00580A40"/>
    <w:rsid w:val="00587CF0"/>
    <w:rsid w:val="005B14E8"/>
    <w:rsid w:val="005B48E6"/>
    <w:rsid w:val="005D0D2B"/>
    <w:rsid w:val="005E30B0"/>
    <w:rsid w:val="005E4FC6"/>
    <w:rsid w:val="005E5230"/>
    <w:rsid w:val="005F2877"/>
    <w:rsid w:val="006047AD"/>
    <w:rsid w:val="0064328C"/>
    <w:rsid w:val="00656B34"/>
    <w:rsid w:val="006651EF"/>
    <w:rsid w:val="006661D5"/>
    <w:rsid w:val="00692C6C"/>
    <w:rsid w:val="006A556B"/>
    <w:rsid w:val="006C0D4A"/>
    <w:rsid w:val="006D1F41"/>
    <w:rsid w:val="006D52DD"/>
    <w:rsid w:val="006E0BF3"/>
    <w:rsid w:val="006E3607"/>
    <w:rsid w:val="006E53C6"/>
    <w:rsid w:val="006E7C63"/>
    <w:rsid w:val="00705972"/>
    <w:rsid w:val="00723967"/>
    <w:rsid w:val="007417CF"/>
    <w:rsid w:val="00751CBD"/>
    <w:rsid w:val="007643B3"/>
    <w:rsid w:val="00767908"/>
    <w:rsid w:val="00774F59"/>
    <w:rsid w:val="0078522A"/>
    <w:rsid w:val="00792F96"/>
    <w:rsid w:val="007B23C1"/>
    <w:rsid w:val="007C04FD"/>
    <w:rsid w:val="007C5972"/>
    <w:rsid w:val="007D40A2"/>
    <w:rsid w:val="007D651C"/>
    <w:rsid w:val="007E0567"/>
    <w:rsid w:val="007E1F32"/>
    <w:rsid w:val="007E387E"/>
    <w:rsid w:val="007E4093"/>
    <w:rsid w:val="007E54CD"/>
    <w:rsid w:val="007F41FC"/>
    <w:rsid w:val="007F6D5D"/>
    <w:rsid w:val="0080738D"/>
    <w:rsid w:val="00813F14"/>
    <w:rsid w:val="008209B4"/>
    <w:rsid w:val="008327C3"/>
    <w:rsid w:val="00842ABA"/>
    <w:rsid w:val="00842DF4"/>
    <w:rsid w:val="008447E2"/>
    <w:rsid w:val="008500D0"/>
    <w:rsid w:val="008545D2"/>
    <w:rsid w:val="00855895"/>
    <w:rsid w:val="008640E5"/>
    <w:rsid w:val="00871463"/>
    <w:rsid w:val="00874712"/>
    <w:rsid w:val="00874CED"/>
    <w:rsid w:val="00884165"/>
    <w:rsid w:val="00892722"/>
    <w:rsid w:val="008A48F7"/>
    <w:rsid w:val="008D76E7"/>
    <w:rsid w:val="008E5285"/>
    <w:rsid w:val="008E67C6"/>
    <w:rsid w:val="00901EE0"/>
    <w:rsid w:val="00920A45"/>
    <w:rsid w:val="00921E14"/>
    <w:rsid w:val="0093512E"/>
    <w:rsid w:val="009503B0"/>
    <w:rsid w:val="00955AE1"/>
    <w:rsid w:val="00956926"/>
    <w:rsid w:val="00963276"/>
    <w:rsid w:val="00977981"/>
    <w:rsid w:val="009A06C4"/>
    <w:rsid w:val="009A1C61"/>
    <w:rsid w:val="009A29B2"/>
    <w:rsid w:val="009A4A64"/>
    <w:rsid w:val="009D1A45"/>
    <w:rsid w:val="009D23EE"/>
    <w:rsid w:val="009D42E6"/>
    <w:rsid w:val="009F577F"/>
    <w:rsid w:val="00A01FCF"/>
    <w:rsid w:val="00A03C61"/>
    <w:rsid w:val="00A06119"/>
    <w:rsid w:val="00A068FF"/>
    <w:rsid w:val="00A17466"/>
    <w:rsid w:val="00A43533"/>
    <w:rsid w:val="00A6057C"/>
    <w:rsid w:val="00A91741"/>
    <w:rsid w:val="00AB4C6E"/>
    <w:rsid w:val="00AC208F"/>
    <w:rsid w:val="00AD5D23"/>
    <w:rsid w:val="00AE38B6"/>
    <w:rsid w:val="00AE3B84"/>
    <w:rsid w:val="00AE7F90"/>
    <w:rsid w:val="00B2413E"/>
    <w:rsid w:val="00B24799"/>
    <w:rsid w:val="00B30755"/>
    <w:rsid w:val="00B34149"/>
    <w:rsid w:val="00B37714"/>
    <w:rsid w:val="00B463E7"/>
    <w:rsid w:val="00B75942"/>
    <w:rsid w:val="00B763D4"/>
    <w:rsid w:val="00B76C77"/>
    <w:rsid w:val="00B77BF5"/>
    <w:rsid w:val="00B87099"/>
    <w:rsid w:val="00B94BF6"/>
    <w:rsid w:val="00BA23E2"/>
    <w:rsid w:val="00BB35D6"/>
    <w:rsid w:val="00BC27CE"/>
    <w:rsid w:val="00BF3EA4"/>
    <w:rsid w:val="00C233C7"/>
    <w:rsid w:val="00C23D45"/>
    <w:rsid w:val="00C32DA0"/>
    <w:rsid w:val="00C36B7D"/>
    <w:rsid w:val="00C53F94"/>
    <w:rsid w:val="00C56918"/>
    <w:rsid w:val="00C573F4"/>
    <w:rsid w:val="00C64F61"/>
    <w:rsid w:val="00C759B7"/>
    <w:rsid w:val="00C90617"/>
    <w:rsid w:val="00CB04E9"/>
    <w:rsid w:val="00CB0B8B"/>
    <w:rsid w:val="00CB48CB"/>
    <w:rsid w:val="00CC023E"/>
    <w:rsid w:val="00CC4712"/>
    <w:rsid w:val="00CD1344"/>
    <w:rsid w:val="00CD3DA8"/>
    <w:rsid w:val="00CE0786"/>
    <w:rsid w:val="00CE0AB5"/>
    <w:rsid w:val="00CE51FF"/>
    <w:rsid w:val="00CF218D"/>
    <w:rsid w:val="00CF4CCD"/>
    <w:rsid w:val="00CF55BE"/>
    <w:rsid w:val="00D16276"/>
    <w:rsid w:val="00D31040"/>
    <w:rsid w:val="00D463B0"/>
    <w:rsid w:val="00D47975"/>
    <w:rsid w:val="00D6481B"/>
    <w:rsid w:val="00D77124"/>
    <w:rsid w:val="00D86A15"/>
    <w:rsid w:val="00D87463"/>
    <w:rsid w:val="00D9019C"/>
    <w:rsid w:val="00DB1B01"/>
    <w:rsid w:val="00DB331F"/>
    <w:rsid w:val="00DB346C"/>
    <w:rsid w:val="00DC1BD7"/>
    <w:rsid w:val="00DD39B5"/>
    <w:rsid w:val="00DE7554"/>
    <w:rsid w:val="00DF725D"/>
    <w:rsid w:val="00E10838"/>
    <w:rsid w:val="00E30944"/>
    <w:rsid w:val="00E53E6B"/>
    <w:rsid w:val="00E6754D"/>
    <w:rsid w:val="00E75F18"/>
    <w:rsid w:val="00E82FDF"/>
    <w:rsid w:val="00E91348"/>
    <w:rsid w:val="00ED4D23"/>
    <w:rsid w:val="00EE096C"/>
    <w:rsid w:val="00EE2946"/>
    <w:rsid w:val="00EE306E"/>
    <w:rsid w:val="00EE60B2"/>
    <w:rsid w:val="00EF7664"/>
    <w:rsid w:val="00F009DC"/>
    <w:rsid w:val="00F12B1B"/>
    <w:rsid w:val="00F329B8"/>
    <w:rsid w:val="00F43DDB"/>
    <w:rsid w:val="00F46468"/>
    <w:rsid w:val="00F64FE1"/>
    <w:rsid w:val="00F655EE"/>
    <w:rsid w:val="00F67972"/>
    <w:rsid w:val="00F77579"/>
    <w:rsid w:val="00F814EC"/>
    <w:rsid w:val="00F85A48"/>
    <w:rsid w:val="00FA0F1B"/>
    <w:rsid w:val="00FB6C0F"/>
    <w:rsid w:val="00FC01F3"/>
    <w:rsid w:val="00FC547B"/>
    <w:rsid w:val="00FC7E27"/>
    <w:rsid w:val="00FD42EF"/>
    <w:rsid w:val="00FD4516"/>
    <w:rsid w:val="00FF24C8"/>
    <w:rsid w:val="00FF4C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58B1"/>
  <w15:docId w15:val="{D7279E1D-F722-4AFE-B232-320217F9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5C"/>
    <w:pPr>
      <w:spacing w:after="0" w:line="240" w:lineRule="auto"/>
    </w:pPr>
    <w:rPr>
      <w:rFonts w:ascii=".VnTime" w:eastAsia="Calibri" w:hAnsi=".VnTime" w:cs="Times New Roman"/>
      <w:sz w:val="28"/>
      <w:szCs w:val="28"/>
      <w:lang w:val="en-US"/>
    </w:rPr>
  </w:style>
  <w:style w:type="paragraph" w:styleId="Heading2">
    <w:name w:val="heading 2"/>
    <w:basedOn w:val="Normal"/>
    <w:next w:val="Normal"/>
    <w:link w:val="Heading2Char"/>
    <w:qFormat/>
    <w:rsid w:val="0049525C"/>
    <w:pPr>
      <w:keepNext/>
      <w:outlineLvl w:val="1"/>
    </w:pPr>
    <w:rPr>
      <w:i/>
      <w:iCs/>
      <w:szCs w:val="24"/>
    </w:rPr>
  </w:style>
  <w:style w:type="paragraph" w:styleId="Heading4">
    <w:name w:val="heading 4"/>
    <w:basedOn w:val="Normal"/>
    <w:next w:val="Normal"/>
    <w:link w:val="Heading4Char"/>
    <w:uiPriority w:val="9"/>
    <w:unhideWhenUsed/>
    <w:qFormat/>
    <w:rsid w:val="00AC20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525C"/>
    <w:rPr>
      <w:rFonts w:ascii=".VnTime" w:eastAsia="Calibri" w:hAnsi=".VnTime" w:cs="Times New Roman"/>
      <w:i/>
      <w:iCs/>
      <w:sz w:val="28"/>
      <w:szCs w:val="24"/>
      <w:lang w:val="en-US"/>
    </w:rPr>
  </w:style>
  <w:style w:type="table" w:styleId="TableGrid">
    <w:name w:val="Table Grid"/>
    <w:basedOn w:val="TableNormal"/>
    <w:uiPriority w:val="59"/>
    <w:rsid w:val="0049525C"/>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884165"/>
    <w:pPr>
      <w:ind w:left="720"/>
      <w:contextualSpacing/>
    </w:pPr>
  </w:style>
  <w:style w:type="character" w:customStyle="1" w:styleId="Heading4Char">
    <w:name w:val="Heading 4 Char"/>
    <w:basedOn w:val="DefaultParagraphFont"/>
    <w:link w:val="Heading4"/>
    <w:uiPriority w:val="9"/>
    <w:rsid w:val="00AC208F"/>
    <w:rPr>
      <w:rFonts w:asciiTheme="majorHAnsi" w:eastAsiaTheme="majorEastAsia" w:hAnsiTheme="majorHAnsi" w:cstheme="majorBidi"/>
      <w:i/>
      <w:iCs/>
      <w:color w:val="365F91" w:themeColor="accent1" w:themeShade="BF"/>
      <w:sz w:val="28"/>
      <w:szCs w:val="28"/>
      <w:lang w:val="en-US"/>
    </w:rPr>
  </w:style>
  <w:style w:type="paragraph" w:styleId="Header">
    <w:name w:val="header"/>
    <w:basedOn w:val="Normal"/>
    <w:link w:val="HeaderChar"/>
    <w:uiPriority w:val="99"/>
    <w:unhideWhenUsed/>
    <w:rsid w:val="00D77124"/>
    <w:pPr>
      <w:tabs>
        <w:tab w:val="center" w:pos="4513"/>
        <w:tab w:val="right" w:pos="9026"/>
      </w:tabs>
    </w:pPr>
  </w:style>
  <w:style w:type="character" w:customStyle="1" w:styleId="HeaderChar">
    <w:name w:val="Header Char"/>
    <w:basedOn w:val="DefaultParagraphFont"/>
    <w:link w:val="Header"/>
    <w:uiPriority w:val="99"/>
    <w:rsid w:val="00D77124"/>
    <w:rPr>
      <w:rFonts w:ascii=".VnTime" w:eastAsia="Calibri" w:hAnsi=".VnTime" w:cs="Times New Roman"/>
      <w:sz w:val="28"/>
      <w:szCs w:val="28"/>
      <w:lang w:val="en-US"/>
    </w:rPr>
  </w:style>
  <w:style w:type="paragraph" w:styleId="Footer">
    <w:name w:val="footer"/>
    <w:basedOn w:val="Normal"/>
    <w:link w:val="FooterChar"/>
    <w:uiPriority w:val="99"/>
    <w:unhideWhenUsed/>
    <w:rsid w:val="00D77124"/>
    <w:pPr>
      <w:tabs>
        <w:tab w:val="center" w:pos="4513"/>
        <w:tab w:val="right" w:pos="9026"/>
      </w:tabs>
    </w:pPr>
  </w:style>
  <w:style w:type="character" w:customStyle="1" w:styleId="FooterChar">
    <w:name w:val="Footer Char"/>
    <w:basedOn w:val="DefaultParagraphFont"/>
    <w:link w:val="Footer"/>
    <w:uiPriority w:val="99"/>
    <w:rsid w:val="00D77124"/>
    <w:rPr>
      <w:rFonts w:ascii=".VnTime" w:eastAsia="Calibri" w:hAnsi=".VnTime" w:cs="Times New Roman"/>
      <w:sz w:val="28"/>
      <w:szCs w:val="28"/>
      <w:lang w:val="en-US"/>
    </w:rPr>
  </w:style>
  <w:style w:type="paragraph" w:styleId="BodyText">
    <w:name w:val="Body Text"/>
    <w:basedOn w:val="Normal"/>
    <w:link w:val="BodyTextChar"/>
    <w:uiPriority w:val="99"/>
    <w:unhideWhenUsed/>
    <w:rsid w:val="008E67C6"/>
    <w:pPr>
      <w:spacing w:after="120"/>
    </w:pPr>
  </w:style>
  <w:style w:type="character" w:customStyle="1" w:styleId="BodyTextChar">
    <w:name w:val="Body Text Char"/>
    <w:basedOn w:val="DefaultParagraphFont"/>
    <w:link w:val="BodyText"/>
    <w:uiPriority w:val="99"/>
    <w:rsid w:val="008E67C6"/>
    <w:rPr>
      <w:rFonts w:ascii=".VnTime" w:eastAsia="Calibri" w:hAnsi=".VnTime" w:cs="Times New Roman"/>
      <w:sz w:val="28"/>
      <w:szCs w:val="28"/>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3744F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3744F6"/>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R"/>
    <w:link w:val="RefChar"/>
    <w:uiPriority w:val="99"/>
    <w:qFormat/>
    <w:rsid w:val="003744F6"/>
    <w:rPr>
      <w:vertAlign w:val="superscript"/>
    </w:rPr>
  </w:style>
  <w:style w:type="table" w:customStyle="1" w:styleId="GenStyleDefTable">
    <w:name w:val="GenStyleDefTable"/>
    <w:rsid w:val="003744F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3744F6"/>
    <w:pPr>
      <w:spacing w:after="160" w:line="240" w:lineRule="exact"/>
    </w:pPr>
    <w:rPr>
      <w:rFonts w:asciiTheme="minorHAnsi" w:eastAsiaTheme="minorHAnsi" w:hAnsiTheme="minorHAnsi" w:cstheme="minorBidi"/>
      <w:sz w:val="22"/>
      <w:szCs w:val="22"/>
      <w:vertAlign w:val="superscript"/>
      <w:lang w:val="vi-VN"/>
    </w:rPr>
  </w:style>
  <w:style w:type="paragraph" w:styleId="BodyText2">
    <w:name w:val="Body Text 2"/>
    <w:basedOn w:val="Normal"/>
    <w:link w:val="BodyText2Char"/>
    <w:uiPriority w:val="99"/>
    <w:unhideWhenUsed/>
    <w:rsid w:val="008209B4"/>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uiPriority w:val="99"/>
    <w:rsid w:val="008209B4"/>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374FF-2859-47A8-B1F1-387B55B1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Administrator</cp:lastModifiedBy>
  <cp:revision>71</cp:revision>
  <cp:lastPrinted>2025-08-05T00:51:00Z</cp:lastPrinted>
  <dcterms:created xsi:type="dcterms:W3CDTF">2025-10-02T10:13:00Z</dcterms:created>
  <dcterms:modified xsi:type="dcterms:W3CDTF">2025-11-09T12:55:00Z</dcterms:modified>
</cp:coreProperties>
</file>