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724"/>
      </w:tblGrid>
      <w:tr w:rsidR="00BD290F" w:rsidRPr="00BD290F" w14:paraId="26510F23" w14:textId="77777777" w:rsidTr="00737B75">
        <w:trPr>
          <w:tblCellSpacing w:w="0" w:type="dxa"/>
        </w:trPr>
        <w:tc>
          <w:tcPr>
            <w:tcW w:w="3348" w:type="dxa"/>
            <w:shd w:val="clear" w:color="auto" w:fill="FFFFFF"/>
            <w:tcMar>
              <w:top w:w="0" w:type="dxa"/>
              <w:left w:w="108" w:type="dxa"/>
              <w:bottom w:w="0" w:type="dxa"/>
              <w:right w:w="108" w:type="dxa"/>
            </w:tcMar>
            <w:hideMark/>
          </w:tcPr>
          <w:p w14:paraId="3492D658" w14:textId="4BE71FFD" w:rsidR="00AB1595" w:rsidRPr="00BD290F" w:rsidRDefault="00737B75" w:rsidP="00AB1595">
            <w:pPr>
              <w:spacing w:before="120" w:after="120" w:line="234" w:lineRule="atLeast"/>
              <w:jc w:val="center"/>
              <w:rPr>
                <w:rFonts w:eastAsia="Times New Roman"/>
                <w:szCs w:val="28"/>
              </w:rPr>
            </w:pPr>
            <w:r w:rsidRPr="00BD290F">
              <w:rPr>
                <w:rFonts w:eastAsia="Times New Roman"/>
                <w:b/>
                <w:bCs/>
                <w:noProof/>
                <w:szCs w:val="28"/>
              </w:rPr>
              <mc:AlternateContent>
                <mc:Choice Requires="wps">
                  <w:drawing>
                    <wp:anchor distT="0" distB="0" distL="114300" distR="114300" simplePos="0" relativeHeight="251659264" behindDoc="0" locked="0" layoutInCell="1" allowOverlap="1" wp14:anchorId="7C0716C1" wp14:editId="0DEFDB42">
                      <wp:simplePos x="0" y="0"/>
                      <wp:positionH relativeFrom="column">
                        <wp:posOffset>598805</wp:posOffset>
                      </wp:positionH>
                      <wp:positionV relativeFrom="paragraph">
                        <wp:posOffset>542318</wp:posOffset>
                      </wp:positionV>
                      <wp:extent cx="79315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931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67E60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15pt,42.7pt" to="109.6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" strokecolor="black [3200]" strokeweight=".5pt">
                      <v:stroke joinstyle="miter"/>
                    </v:line>
                  </w:pict>
                </mc:Fallback>
              </mc:AlternateContent>
            </w:r>
            <w:r w:rsidR="00AB1595" w:rsidRPr="00BD290F">
              <w:rPr>
                <w:rFonts w:eastAsia="Times New Roman"/>
                <w:b/>
                <w:bCs/>
                <w:szCs w:val="28"/>
              </w:rPr>
              <w:t>HỘI ĐỒNG NHÂN DÂN</w:t>
            </w:r>
            <w:r w:rsidR="00AB1595" w:rsidRPr="00BD290F">
              <w:rPr>
                <w:rFonts w:eastAsia="Times New Roman"/>
                <w:b/>
                <w:bCs/>
                <w:szCs w:val="28"/>
              </w:rPr>
              <w:br/>
              <w:t xml:space="preserve">TỈNH </w:t>
            </w:r>
            <w:r w:rsidR="00377F17" w:rsidRPr="00BD290F">
              <w:rPr>
                <w:rFonts w:eastAsia="Times New Roman"/>
                <w:b/>
                <w:bCs/>
                <w:szCs w:val="28"/>
              </w:rPr>
              <w:t>TUYÊN QUANG</w:t>
            </w:r>
          </w:p>
        </w:tc>
        <w:tc>
          <w:tcPr>
            <w:tcW w:w="5724" w:type="dxa"/>
            <w:shd w:val="clear" w:color="auto" w:fill="FFFFFF"/>
            <w:tcMar>
              <w:top w:w="0" w:type="dxa"/>
              <w:left w:w="108" w:type="dxa"/>
              <w:bottom w:w="0" w:type="dxa"/>
              <w:right w:w="108" w:type="dxa"/>
            </w:tcMar>
            <w:hideMark/>
          </w:tcPr>
          <w:p w14:paraId="0035AD96" w14:textId="38570A9A" w:rsidR="00AB1595" w:rsidRPr="00BD290F" w:rsidRDefault="00737B75" w:rsidP="00AB1595">
            <w:pPr>
              <w:spacing w:before="120" w:after="120" w:line="234" w:lineRule="atLeast"/>
              <w:jc w:val="center"/>
              <w:rPr>
                <w:rFonts w:eastAsia="Times New Roman"/>
                <w:szCs w:val="28"/>
              </w:rPr>
            </w:pPr>
            <w:r w:rsidRPr="00BD290F">
              <w:rPr>
                <w:rFonts w:eastAsia="Times New Roman"/>
                <w:b/>
                <w:bCs/>
                <w:noProof/>
                <w:sz w:val="26"/>
                <w:szCs w:val="26"/>
              </w:rPr>
              <mc:AlternateContent>
                <mc:Choice Requires="wps">
                  <w:drawing>
                    <wp:anchor distT="0" distB="0" distL="114300" distR="114300" simplePos="0" relativeHeight="251660288" behindDoc="0" locked="0" layoutInCell="1" allowOverlap="1" wp14:anchorId="7E3E8750" wp14:editId="544DE33A">
                      <wp:simplePos x="0" y="0"/>
                      <wp:positionH relativeFrom="column">
                        <wp:posOffset>665480</wp:posOffset>
                      </wp:positionH>
                      <wp:positionV relativeFrom="paragraph">
                        <wp:posOffset>505432</wp:posOffset>
                      </wp:positionV>
                      <wp:extent cx="219759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975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BFAEC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4pt,39.8pt" to="225.4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6JGmgEAAIgDAAAOAAAAZHJzL2Uyb0RvYy54bWysU8tu2zAQvAfIPxC815IMtE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" strokecolor="black [3200]" strokeweight=".5pt">
                      <v:stroke joinstyle="miter"/>
                    </v:line>
                  </w:pict>
                </mc:Fallback>
              </mc:AlternateContent>
            </w:r>
            <w:r w:rsidR="00AB1595" w:rsidRPr="00BD290F">
              <w:rPr>
                <w:rFonts w:eastAsia="Times New Roman"/>
                <w:b/>
                <w:bCs/>
                <w:sz w:val="26"/>
                <w:szCs w:val="26"/>
              </w:rPr>
              <w:t>CỘNG HÒA XÃ HỘI CHỦ NGHĨA VIỆT NAM</w:t>
            </w:r>
            <w:r w:rsidR="00AB1595" w:rsidRPr="00BD290F">
              <w:rPr>
                <w:rFonts w:eastAsia="Times New Roman"/>
                <w:b/>
                <w:bCs/>
                <w:sz w:val="26"/>
                <w:szCs w:val="26"/>
              </w:rPr>
              <w:br/>
            </w:r>
            <w:r w:rsidR="00AB1595" w:rsidRPr="00BD290F">
              <w:rPr>
                <w:rFonts w:eastAsia="Times New Roman"/>
                <w:b/>
                <w:bCs/>
                <w:szCs w:val="28"/>
              </w:rPr>
              <w:t>Độc lập - Tự do - Hạnh phúc</w:t>
            </w:r>
          </w:p>
        </w:tc>
      </w:tr>
      <w:tr w:rsidR="00BD290F" w:rsidRPr="00BD290F" w14:paraId="2B422BB7" w14:textId="77777777" w:rsidTr="00737B75">
        <w:trPr>
          <w:tblCellSpacing w:w="0" w:type="dxa"/>
        </w:trPr>
        <w:tc>
          <w:tcPr>
            <w:tcW w:w="3348" w:type="dxa"/>
            <w:shd w:val="clear" w:color="auto" w:fill="FFFFFF"/>
            <w:tcMar>
              <w:top w:w="0" w:type="dxa"/>
              <w:left w:w="108" w:type="dxa"/>
              <w:bottom w:w="0" w:type="dxa"/>
              <w:right w:w="108" w:type="dxa"/>
            </w:tcMar>
            <w:hideMark/>
          </w:tcPr>
          <w:p w14:paraId="0EBE7BAD" w14:textId="4A2F0811" w:rsidR="00AB1595" w:rsidRPr="00BD290F" w:rsidRDefault="00AB1595" w:rsidP="00AB1595">
            <w:pPr>
              <w:spacing w:before="120" w:after="120" w:line="234" w:lineRule="atLeast"/>
              <w:jc w:val="center"/>
              <w:rPr>
                <w:rFonts w:eastAsia="Times New Roman"/>
                <w:szCs w:val="28"/>
              </w:rPr>
            </w:pPr>
            <w:r w:rsidRPr="00BD290F">
              <w:rPr>
                <w:rFonts w:eastAsia="Times New Roman"/>
                <w:szCs w:val="28"/>
              </w:rPr>
              <w:t>Số:</w:t>
            </w:r>
            <w:r w:rsidR="00737B75" w:rsidRPr="00BD290F">
              <w:rPr>
                <w:rFonts w:eastAsia="Times New Roman"/>
                <w:szCs w:val="28"/>
              </w:rPr>
              <w:t xml:space="preserve">          </w:t>
            </w:r>
            <w:r w:rsidRPr="00BD290F">
              <w:rPr>
                <w:rFonts w:eastAsia="Times New Roman"/>
                <w:szCs w:val="28"/>
              </w:rPr>
              <w:t>/202</w:t>
            </w:r>
            <w:r w:rsidR="009B0A43" w:rsidRPr="00BD290F">
              <w:rPr>
                <w:rFonts w:eastAsia="Times New Roman"/>
                <w:szCs w:val="28"/>
              </w:rPr>
              <w:t>5</w:t>
            </w:r>
            <w:r w:rsidRPr="00BD290F">
              <w:rPr>
                <w:rFonts w:eastAsia="Times New Roman"/>
                <w:szCs w:val="28"/>
              </w:rPr>
              <w:t>/NQ-HĐND</w:t>
            </w:r>
          </w:p>
        </w:tc>
        <w:tc>
          <w:tcPr>
            <w:tcW w:w="5724" w:type="dxa"/>
            <w:shd w:val="clear" w:color="auto" w:fill="FFFFFF"/>
            <w:tcMar>
              <w:top w:w="0" w:type="dxa"/>
              <w:left w:w="108" w:type="dxa"/>
              <w:bottom w:w="0" w:type="dxa"/>
              <w:right w:w="108" w:type="dxa"/>
            </w:tcMar>
            <w:hideMark/>
          </w:tcPr>
          <w:p w14:paraId="3C9B4210" w14:textId="6DBE18BF" w:rsidR="00AB1595" w:rsidRPr="00BD290F" w:rsidRDefault="00377F17" w:rsidP="00AB1595">
            <w:pPr>
              <w:spacing w:before="120" w:after="120" w:line="234" w:lineRule="atLeast"/>
              <w:jc w:val="right"/>
              <w:rPr>
                <w:rFonts w:eastAsia="Times New Roman"/>
                <w:szCs w:val="28"/>
              </w:rPr>
            </w:pPr>
            <w:r w:rsidRPr="00BD290F">
              <w:rPr>
                <w:rFonts w:eastAsia="Times New Roman"/>
                <w:i/>
                <w:iCs/>
                <w:szCs w:val="28"/>
              </w:rPr>
              <w:t>Tuyên Quang</w:t>
            </w:r>
            <w:r w:rsidR="00AB1595" w:rsidRPr="00BD290F">
              <w:rPr>
                <w:rFonts w:eastAsia="Times New Roman"/>
                <w:i/>
                <w:iCs/>
                <w:szCs w:val="28"/>
              </w:rPr>
              <w:t>, ngày</w:t>
            </w:r>
            <w:r w:rsidR="00737B75" w:rsidRPr="00BD290F">
              <w:rPr>
                <w:rFonts w:eastAsia="Times New Roman"/>
                <w:i/>
                <w:iCs/>
                <w:szCs w:val="28"/>
              </w:rPr>
              <w:t xml:space="preserve">     </w:t>
            </w:r>
            <w:r w:rsidR="00AB1595" w:rsidRPr="00BD290F">
              <w:rPr>
                <w:rFonts w:eastAsia="Times New Roman"/>
                <w:i/>
                <w:iCs/>
                <w:szCs w:val="28"/>
              </w:rPr>
              <w:t xml:space="preserve"> tháng </w:t>
            </w:r>
            <w:r w:rsidR="00737B75" w:rsidRPr="00BD290F">
              <w:rPr>
                <w:rFonts w:eastAsia="Times New Roman"/>
                <w:i/>
                <w:iCs/>
                <w:szCs w:val="28"/>
              </w:rPr>
              <w:t xml:space="preserve">     </w:t>
            </w:r>
            <w:r w:rsidR="00AB1595" w:rsidRPr="00BD290F">
              <w:rPr>
                <w:rFonts w:eastAsia="Times New Roman"/>
                <w:i/>
                <w:iCs/>
                <w:szCs w:val="28"/>
              </w:rPr>
              <w:t xml:space="preserve"> năm 202</w:t>
            </w:r>
            <w:r w:rsidR="004546FF" w:rsidRPr="00BD290F">
              <w:rPr>
                <w:rFonts w:eastAsia="Times New Roman"/>
                <w:i/>
                <w:iCs/>
                <w:szCs w:val="28"/>
              </w:rPr>
              <w:t>5</w:t>
            </w:r>
          </w:p>
        </w:tc>
      </w:tr>
      <w:tr w:rsidR="00BD290F" w:rsidRPr="00BD290F" w14:paraId="5EB58E25" w14:textId="77777777" w:rsidTr="00AB1595">
        <w:trPr>
          <w:tblCellSpacing w:w="0" w:type="dxa"/>
        </w:trPr>
        <w:tc>
          <w:tcPr>
            <w:tcW w:w="3348" w:type="dxa"/>
            <w:shd w:val="clear" w:color="auto" w:fill="FFFFFF"/>
            <w:tcMar>
              <w:top w:w="0" w:type="dxa"/>
              <w:left w:w="108" w:type="dxa"/>
              <w:bottom w:w="0" w:type="dxa"/>
              <w:right w:w="108" w:type="dxa"/>
            </w:tcMar>
          </w:tcPr>
          <w:p w14:paraId="2493E565" w14:textId="707A3871" w:rsidR="00AB1595" w:rsidRPr="00BD290F" w:rsidRDefault="00737B75" w:rsidP="00737B75">
            <w:pPr>
              <w:jc w:val="center"/>
              <w:rPr>
                <w:rFonts w:eastAsia="Times New Roman"/>
                <w:szCs w:val="28"/>
              </w:rPr>
            </w:pPr>
            <w:r w:rsidRPr="00BD290F">
              <w:rPr>
                <w:b/>
                <w:bCs/>
              </w:rPr>
              <w:t>DỰ THẢO</w:t>
            </w:r>
          </w:p>
        </w:tc>
        <w:tc>
          <w:tcPr>
            <w:tcW w:w="5724" w:type="dxa"/>
            <w:shd w:val="clear" w:color="auto" w:fill="FFFFFF"/>
            <w:tcMar>
              <w:top w:w="0" w:type="dxa"/>
              <w:left w:w="108" w:type="dxa"/>
              <w:bottom w:w="0" w:type="dxa"/>
              <w:right w:w="108" w:type="dxa"/>
            </w:tcMar>
          </w:tcPr>
          <w:p w14:paraId="58D42C55" w14:textId="2474B95A" w:rsidR="00AB1595" w:rsidRPr="00BD290F" w:rsidRDefault="00AB1595" w:rsidP="00AB1595">
            <w:pPr>
              <w:spacing w:before="120" w:after="120" w:line="234" w:lineRule="atLeast"/>
              <w:jc w:val="right"/>
              <w:rPr>
                <w:rFonts w:eastAsia="Times New Roman"/>
                <w:szCs w:val="28"/>
              </w:rPr>
            </w:pPr>
          </w:p>
        </w:tc>
      </w:tr>
    </w:tbl>
    <w:p w14:paraId="08375C04" w14:textId="77777777" w:rsidR="00AB1595" w:rsidRPr="00BD290F" w:rsidRDefault="00AB1595" w:rsidP="00BD0735">
      <w:pPr>
        <w:shd w:val="clear" w:color="auto" w:fill="FFFFFF"/>
        <w:spacing w:before="120" w:after="120" w:line="234" w:lineRule="atLeast"/>
        <w:jc w:val="center"/>
        <w:rPr>
          <w:rFonts w:eastAsia="Times New Roman"/>
          <w:b/>
          <w:bCs/>
          <w:szCs w:val="28"/>
        </w:rPr>
      </w:pPr>
      <w:bookmarkStart w:id="0" w:name="loai_1"/>
      <w:r w:rsidRPr="00BD290F">
        <w:rPr>
          <w:rFonts w:eastAsia="Times New Roman"/>
          <w:b/>
          <w:bCs/>
          <w:szCs w:val="28"/>
        </w:rPr>
        <w:t>NGHỊ QUYẾT</w:t>
      </w:r>
      <w:bookmarkEnd w:id="0"/>
    </w:p>
    <w:p w14:paraId="0E8AD7EE" w14:textId="1E8DFE6A" w:rsidR="00A86138" w:rsidRPr="00BD290F" w:rsidRDefault="00A86138" w:rsidP="000D43DB">
      <w:pPr>
        <w:shd w:val="clear" w:color="auto" w:fill="FFFFFF"/>
        <w:spacing w:before="120" w:after="0" w:line="234" w:lineRule="atLeast"/>
        <w:jc w:val="center"/>
        <w:rPr>
          <w:b/>
          <w:bCs/>
          <w:szCs w:val="28"/>
          <w:lang w:val="nl-NL"/>
        </w:rPr>
      </w:pPr>
      <w:r w:rsidRPr="00BD290F">
        <w:rPr>
          <w:b/>
          <w:bCs/>
          <w:szCs w:val="28"/>
          <w:lang w:eastAsia="vi-VN" w:bidi="vi-VN"/>
        </w:rPr>
        <w:t>Quy định nguyên tắc</w:t>
      </w:r>
      <w:r w:rsidRPr="00BD290F">
        <w:rPr>
          <w:b/>
          <w:bCs/>
          <w:szCs w:val="28"/>
          <w:lang w:val="nl-NL"/>
        </w:rPr>
        <w:t>, tiêu chí, định mức phân bổ vốn ngân sách trung ương và tỷ lệ vốn đối ứng của ngân sách địa phương thực hiện Chương trình mục tiêu quốc gia giảm nghèo bền vững giai đoạn 2021-2025</w:t>
      </w:r>
    </w:p>
    <w:p w14:paraId="0ADCB45F" w14:textId="77777777" w:rsidR="000D43DB" w:rsidRPr="00BD290F" w:rsidRDefault="000D43DB" w:rsidP="000D43DB">
      <w:pPr>
        <w:shd w:val="clear" w:color="auto" w:fill="FFFFFF"/>
        <w:spacing w:after="0" w:line="234" w:lineRule="atLeast"/>
        <w:jc w:val="center"/>
        <w:rPr>
          <w:b/>
          <w:bCs/>
          <w:szCs w:val="28"/>
        </w:rPr>
      </w:pPr>
      <w:r w:rsidRPr="00BD290F">
        <w:rPr>
          <w:b/>
          <w:bCs/>
          <w:szCs w:val="28"/>
        </w:rPr>
        <w:t>trên địa bàn tỉnh Tuyên Quang</w:t>
      </w:r>
    </w:p>
    <w:p w14:paraId="4865F7B5" w14:textId="34DE1177" w:rsidR="000D43DB" w:rsidRPr="00BD290F" w:rsidRDefault="00737B75" w:rsidP="000D43DB">
      <w:pPr>
        <w:shd w:val="clear" w:color="auto" w:fill="FFFFFF"/>
        <w:spacing w:after="0" w:line="234" w:lineRule="atLeast"/>
        <w:jc w:val="center"/>
        <w:rPr>
          <w:rFonts w:eastAsia="Times New Roman"/>
          <w:b/>
          <w:bCs/>
          <w:szCs w:val="28"/>
        </w:rPr>
      </w:pPr>
      <w:r w:rsidRPr="00BD290F">
        <w:rPr>
          <w:rFonts w:eastAsia="Times New Roman"/>
          <w:b/>
          <w:bCs/>
          <w:noProof/>
          <w:szCs w:val="28"/>
        </w:rPr>
        <mc:AlternateContent>
          <mc:Choice Requires="wps">
            <w:drawing>
              <wp:anchor distT="0" distB="0" distL="114300" distR="114300" simplePos="0" relativeHeight="251661312" behindDoc="0" locked="0" layoutInCell="1" allowOverlap="1" wp14:anchorId="4650D806" wp14:editId="46A1F0A2">
                <wp:simplePos x="0" y="0"/>
                <wp:positionH relativeFrom="column">
                  <wp:posOffset>2275812</wp:posOffset>
                </wp:positionH>
                <wp:positionV relativeFrom="paragraph">
                  <wp:posOffset>62230</wp:posOffset>
                </wp:positionV>
                <wp:extent cx="132360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23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3328D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9.2pt,4.9pt" to="283.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FmQEAAIgDAAAOAAAAZHJzL2Uyb0RvYy54bWysU9uO0zAQfUfiHyy/06RdaUF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" strokecolor="black [3200]" strokeweight=".5pt">
                <v:stroke joinstyle="miter"/>
              </v:line>
            </w:pict>
          </mc:Fallback>
        </mc:AlternateContent>
      </w:r>
    </w:p>
    <w:p w14:paraId="21BE06F0" w14:textId="77777777" w:rsidR="00A86138" w:rsidRPr="00BD290F" w:rsidRDefault="00A86138" w:rsidP="00854812">
      <w:pPr>
        <w:shd w:val="clear" w:color="auto" w:fill="FFFFFF"/>
        <w:spacing w:before="60" w:after="60" w:line="380" w:lineRule="exact"/>
        <w:ind w:firstLine="720"/>
        <w:jc w:val="both"/>
        <w:rPr>
          <w:rFonts w:eastAsia="Times New Roman"/>
          <w:i/>
          <w:iCs/>
          <w:szCs w:val="28"/>
        </w:rPr>
      </w:pPr>
    </w:p>
    <w:p w14:paraId="3BFEEF47" w14:textId="121CDE10" w:rsidR="00854812" w:rsidRPr="00BD290F" w:rsidRDefault="00854812" w:rsidP="00737B75">
      <w:pPr>
        <w:shd w:val="clear" w:color="auto" w:fill="FFFFFF"/>
        <w:spacing w:before="120" w:after="120" w:line="360" w:lineRule="exact"/>
        <w:ind w:firstLine="720"/>
        <w:jc w:val="both"/>
        <w:rPr>
          <w:rFonts w:eastAsia="Times New Roman"/>
          <w:i/>
          <w:iCs/>
          <w:szCs w:val="28"/>
        </w:rPr>
      </w:pPr>
      <w:r w:rsidRPr="00BD290F">
        <w:rPr>
          <w:rFonts w:eastAsia="Times New Roman"/>
          <w:i/>
          <w:iCs/>
          <w:szCs w:val="28"/>
        </w:rPr>
        <w:t xml:space="preserve">Căn cứ Luật Tổ chức chính quyền địa phương số 72/2025/QH15; </w:t>
      </w:r>
    </w:p>
    <w:p w14:paraId="7F847F48" w14:textId="7CB748B2" w:rsidR="00A86138" w:rsidRPr="00BD290F" w:rsidRDefault="00A86138" w:rsidP="00737B75">
      <w:pPr>
        <w:pStyle w:val="BodyText"/>
        <w:spacing w:before="120" w:after="120" w:line="360" w:lineRule="exact"/>
        <w:ind w:firstLine="720"/>
        <w:rPr>
          <w:rFonts w:ascii="Times New Roman" w:hAnsi="Times New Roman"/>
          <w:i/>
          <w:iCs/>
          <w:lang w:val="da-DK"/>
        </w:rPr>
      </w:pPr>
      <w:r w:rsidRPr="00BD290F">
        <w:rPr>
          <w:rFonts w:ascii="Times New Roman" w:hAnsi="Times New Roman"/>
          <w:i/>
          <w:iCs/>
          <w:lang w:val="da-DK"/>
        </w:rPr>
        <w:t xml:space="preserve">Căn cứ </w:t>
      </w:r>
      <w:bookmarkStart w:id="1" w:name="_Hlk206598307"/>
      <w:r w:rsidRPr="00BD290F">
        <w:rPr>
          <w:rFonts w:ascii="Times New Roman" w:hAnsi="Times New Roman"/>
          <w:i/>
          <w:iCs/>
          <w:lang w:val="da-DK"/>
        </w:rPr>
        <w:t>Luật Ban hành văn bản quy phạm pháp luật số 64/2025/QH15 được sửa đổi, bổ sung bởi Luật số 87/2025/QH15</w:t>
      </w:r>
      <w:bookmarkEnd w:id="1"/>
      <w:r w:rsidRPr="00BD290F">
        <w:rPr>
          <w:rFonts w:ascii="Times New Roman" w:hAnsi="Times New Roman"/>
          <w:i/>
          <w:iCs/>
          <w:lang w:val="da-DK"/>
        </w:rPr>
        <w:t>;</w:t>
      </w:r>
    </w:p>
    <w:p w14:paraId="006F5F65" w14:textId="0771EC64" w:rsidR="00AB1595" w:rsidRPr="00BD290F" w:rsidRDefault="00AB1595" w:rsidP="00737B75">
      <w:pPr>
        <w:shd w:val="clear" w:color="auto" w:fill="FFFFFF"/>
        <w:spacing w:before="120" w:after="120" w:line="360" w:lineRule="exact"/>
        <w:ind w:firstLine="720"/>
        <w:jc w:val="both"/>
        <w:rPr>
          <w:rFonts w:ascii="Times New Roman Italic" w:eastAsia="Times New Roman" w:hAnsi="Times New Roman Italic"/>
          <w:spacing w:val="-8"/>
          <w:szCs w:val="28"/>
        </w:rPr>
      </w:pPr>
      <w:r w:rsidRPr="00BD290F">
        <w:rPr>
          <w:rFonts w:ascii="Times New Roman Italic" w:eastAsia="Times New Roman" w:hAnsi="Times New Roman Italic"/>
          <w:i/>
          <w:iCs/>
          <w:spacing w:val="-8"/>
          <w:szCs w:val="28"/>
        </w:rPr>
        <w:t>Căn cứ Luật Ngân sách nhà nước</w:t>
      </w:r>
      <w:r w:rsidR="00377F17" w:rsidRPr="00BD290F">
        <w:rPr>
          <w:rFonts w:ascii="Times New Roman Italic" w:eastAsia="Times New Roman" w:hAnsi="Times New Roman Italic"/>
          <w:i/>
          <w:iCs/>
          <w:spacing w:val="-8"/>
          <w:szCs w:val="28"/>
        </w:rPr>
        <w:t xml:space="preserve"> số 89/2025/QH15</w:t>
      </w:r>
      <w:r w:rsidRPr="00BD290F">
        <w:rPr>
          <w:rFonts w:ascii="Times New Roman Italic" w:eastAsia="Times New Roman" w:hAnsi="Times New Roman Italic"/>
          <w:i/>
          <w:iCs/>
          <w:spacing w:val="-8"/>
          <w:szCs w:val="28"/>
        </w:rPr>
        <w:t>;</w:t>
      </w:r>
    </w:p>
    <w:p w14:paraId="48422421" w14:textId="77777777" w:rsidR="00A86138" w:rsidRPr="00BD290F" w:rsidRDefault="00AB1595" w:rsidP="00737B75">
      <w:pPr>
        <w:shd w:val="clear" w:color="auto" w:fill="FFFFFF"/>
        <w:spacing w:before="120" w:after="120" w:line="360" w:lineRule="exact"/>
        <w:ind w:firstLine="720"/>
        <w:jc w:val="both"/>
        <w:rPr>
          <w:rFonts w:eastAsia="Times New Roman"/>
          <w:i/>
          <w:iCs/>
          <w:szCs w:val="28"/>
        </w:rPr>
      </w:pPr>
      <w:r w:rsidRPr="00BD290F">
        <w:rPr>
          <w:rFonts w:eastAsia="Times New Roman"/>
          <w:i/>
          <w:iCs/>
          <w:szCs w:val="28"/>
        </w:rPr>
        <w:t>Căn cứ Luật Đầu tư công</w:t>
      </w:r>
      <w:r w:rsidR="00377F17" w:rsidRPr="00BD290F">
        <w:rPr>
          <w:rFonts w:eastAsia="Times New Roman"/>
          <w:i/>
          <w:iCs/>
          <w:szCs w:val="28"/>
        </w:rPr>
        <w:t xml:space="preserve"> số 58</w:t>
      </w:r>
      <w:r w:rsidRPr="00BD290F">
        <w:rPr>
          <w:rFonts w:eastAsia="Times New Roman"/>
          <w:i/>
          <w:iCs/>
          <w:szCs w:val="28"/>
        </w:rPr>
        <w:t xml:space="preserve"> </w:t>
      </w:r>
      <w:r w:rsidR="00377F17" w:rsidRPr="00BD290F">
        <w:rPr>
          <w:rFonts w:eastAsia="Times New Roman"/>
          <w:i/>
          <w:iCs/>
          <w:szCs w:val="28"/>
        </w:rPr>
        <w:t>/2024/QH15;</w:t>
      </w:r>
    </w:p>
    <w:p w14:paraId="4D900006" w14:textId="77777777" w:rsidR="00A86138" w:rsidRPr="00BD290F" w:rsidRDefault="00A86138" w:rsidP="00737B75">
      <w:pPr>
        <w:shd w:val="clear" w:color="auto" w:fill="FFFFFF"/>
        <w:spacing w:before="120" w:after="120" w:line="360" w:lineRule="exact"/>
        <w:ind w:firstLine="720"/>
        <w:jc w:val="both"/>
        <w:rPr>
          <w:i/>
          <w:iCs/>
          <w:szCs w:val="28"/>
          <w:lang w:val="vi-VN"/>
        </w:rPr>
      </w:pPr>
      <w:r w:rsidRPr="00BD290F">
        <w:rPr>
          <w:i/>
          <w:iCs/>
          <w:szCs w:val="28"/>
          <w:lang w:val="vi-VN"/>
        </w:rPr>
        <w:t>Căn cứ Nghị định số 78/2025/NĐ-CP ngày 01 tháng 4 năm 2025 của Chính phủ quy định chi tiết một số điều và biện pháp để tổ chức, hướng dẫn thi hành Luật Ban hành văn bản quy phạm pháp luật;</w:t>
      </w:r>
    </w:p>
    <w:p w14:paraId="7FDD69FB" w14:textId="575AB2F3" w:rsidR="00A86138" w:rsidRPr="00BD290F" w:rsidRDefault="00A86138" w:rsidP="00737B75">
      <w:pPr>
        <w:shd w:val="clear" w:color="auto" w:fill="FFFFFF"/>
        <w:spacing w:before="120" w:after="120" w:line="360" w:lineRule="exact"/>
        <w:ind w:firstLine="720"/>
        <w:jc w:val="both"/>
        <w:rPr>
          <w:i/>
          <w:iCs/>
        </w:rPr>
      </w:pPr>
      <w:r w:rsidRPr="00BD290F">
        <w:rPr>
          <w:i/>
          <w:iCs/>
          <w:szCs w:val="28"/>
          <w:lang w:val="vi-VN"/>
        </w:rPr>
        <w:t xml:space="preserve">Căn cứ </w:t>
      </w:r>
      <w:r w:rsidRPr="00BD290F">
        <w:rPr>
          <w:i/>
          <w:iCs/>
          <w:lang w:val="vi-VN"/>
        </w:rPr>
        <w:t>Nghị định số 27/2022/NĐ-CP ngày 19 tháng 4 năm 2022 của Chính phủ quy định cơ chế quản lý, tổ chức thực hiện các chương trình mục tiêu quốc gia</w:t>
      </w:r>
      <w:r w:rsidRPr="00BD290F">
        <w:rPr>
          <w:i/>
          <w:iCs/>
        </w:rPr>
        <w:t>;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14:paraId="647358A5" w14:textId="77777777" w:rsidR="00A86138" w:rsidRPr="00BD290F" w:rsidRDefault="00AB1595" w:rsidP="00737B75">
      <w:pPr>
        <w:shd w:val="clear" w:color="auto" w:fill="FFFFFF"/>
        <w:spacing w:before="120" w:after="120" w:line="360" w:lineRule="exact"/>
        <w:ind w:firstLine="720"/>
        <w:jc w:val="both"/>
        <w:rPr>
          <w:rFonts w:eastAsia="Times New Roman"/>
          <w:i/>
          <w:iCs/>
          <w:szCs w:val="28"/>
        </w:rPr>
      </w:pPr>
      <w:r w:rsidRPr="00BD290F">
        <w:rPr>
          <w:rFonts w:eastAsia="Times New Roman"/>
          <w:i/>
          <w:iCs/>
          <w:szCs w:val="28"/>
        </w:rPr>
        <w:t>Căn cứ Quyết định số </w:t>
      </w:r>
      <w:hyperlink r:id="rId8" w:tgtFrame="_blank" w:tooltip="Quyết định 02/2022/QĐ-TTg" w:history="1">
        <w:r w:rsidRPr="00BD290F">
          <w:rPr>
            <w:rFonts w:eastAsia="Times New Roman"/>
            <w:i/>
            <w:iCs/>
            <w:szCs w:val="28"/>
          </w:rPr>
          <w:t>02/2022/QĐ-TTg</w:t>
        </w:r>
      </w:hyperlink>
      <w:r w:rsidRPr="00BD290F">
        <w:rPr>
          <w:rFonts w:eastAsia="Times New Roman"/>
          <w:i/>
          <w:iCs/>
          <w:szCs w:val="28"/>
        </w:rPr>
        <w:t> ngày 18 tháng 01 năm 2022 của Thủ tướng Chính phủ về ban hành quy định nguyên tắc, tiêu chí, định mức phân bổ vốn ngân sách nhà nước và tỷ lệ vốn đối ứng của ngân sách địa phương thực hiện Chương trình mục tiêu quốc gia giảm nghèo bền vững giai đoạn 2021-2025;</w:t>
      </w:r>
    </w:p>
    <w:p w14:paraId="30A8F3A1" w14:textId="77777777" w:rsidR="00A86138" w:rsidRPr="00BD290F" w:rsidRDefault="00A86138" w:rsidP="00737B75">
      <w:pPr>
        <w:shd w:val="clear" w:color="auto" w:fill="FFFFFF"/>
        <w:spacing w:before="120" w:after="120" w:line="360" w:lineRule="exact"/>
        <w:ind w:firstLine="720"/>
        <w:jc w:val="both"/>
        <w:rPr>
          <w:i/>
          <w:iCs/>
          <w:lang w:val="vi-VN"/>
        </w:rPr>
      </w:pPr>
      <w:r w:rsidRPr="00BD290F">
        <w:rPr>
          <w:i/>
          <w:iCs/>
          <w:lang w:val="vi-VN"/>
        </w:rPr>
        <w:t>Căn cứ Nghị quyết số 202/2025/QH15 của Quốc Hội khóa XV thông qua ngày 12 tháng 6 năm 2025 về việc sắp xếp đơn vị hành chính cấp tỉnh;</w:t>
      </w:r>
    </w:p>
    <w:p w14:paraId="6EA15E56" w14:textId="3F6F6CAD" w:rsidR="00A86138" w:rsidRPr="00BD290F" w:rsidRDefault="00A86138" w:rsidP="00737B75">
      <w:pPr>
        <w:shd w:val="clear" w:color="auto" w:fill="FFFFFF"/>
        <w:spacing w:before="120" w:after="120" w:line="360" w:lineRule="exact"/>
        <w:ind w:firstLine="720"/>
        <w:jc w:val="both"/>
        <w:rPr>
          <w:i/>
          <w:iCs/>
          <w:lang w:val="vi-VN"/>
        </w:rPr>
      </w:pPr>
      <w:r w:rsidRPr="00BD290F">
        <w:rPr>
          <w:i/>
          <w:iCs/>
          <w:lang w:val="vi-VN"/>
        </w:rPr>
        <w:t>Căn cứ Nghị quyết số 1684/NQ-UBTVQH15 ngày 16 tháng 6 năm 2025 của Ủy ban Thường vụ Quốc hội khóa XV về việc sắp xếp các đơn vị hành chính cấp xã của tỉnh Tuyên Quang năm 2025;</w:t>
      </w:r>
    </w:p>
    <w:p w14:paraId="730E31E4" w14:textId="6C2E9EB0" w:rsidR="00AB1595" w:rsidRPr="00BD290F" w:rsidRDefault="00AB1595" w:rsidP="00737B75">
      <w:pPr>
        <w:spacing w:before="120" w:after="120" w:line="360" w:lineRule="exact"/>
        <w:ind w:firstLine="720"/>
        <w:jc w:val="both"/>
        <w:rPr>
          <w:rFonts w:ascii="Times New Roman Italic" w:eastAsia="Times New Roman" w:hAnsi="Times New Roman Italic"/>
          <w:i/>
          <w:iCs/>
          <w:spacing w:val="-2"/>
          <w:szCs w:val="28"/>
        </w:rPr>
      </w:pPr>
      <w:r w:rsidRPr="00BD290F">
        <w:rPr>
          <w:rFonts w:eastAsia="Times New Roman"/>
          <w:i/>
          <w:iCs/>
          <w:spacing w:val="-2"/>
          <w:szCs w:val="28"/>
        </w:rPr>
        <w:lastRenderedPageBreak/>
        <w:t xml:space="preserve">Xét Tờ trình số </w:t>
      </w:r>
      <w:r w:rsidR="00377F17" w:rsidRPr="00BD290F">
        <w:rPr>
          <w:rFonts w:eastAsia="Times New Roman"/>
          <w:i/>
          <w:iCs/>
          <w:spacing w:val="-2"/>
          <w:szCs w:val="28"/>
        </w:rPr>
        <w:t>…….</w:t>
      </w:r>
      <w:r w:rsidRPr="00BD290F">
        <w:rPr>
          <w:rFonts w:eastAsia="Times New Roman"/>
          <w:i/>
          <w:iCs/>
          <w:spacing w:val="-2"/>
          <w:szCs w:val="28"/>
        </w:rPr>
        <w:t xml:space="preserve">/TTr-UBND ngày </w:t>
      </w:r>
      <w:r w:rsidR="00377F17" w:rsidRPr="00BD290F">
        <w:rPr>
          <w:rFonts w:eastAsia="Times New Roman"/>
          <w:i/>
          <w:iCs/>
          <w:spacing w:val="-2"/>
          <w:szCs w:val="28"/>
        </w:rPr>
        <w:t>….</w:t>
      </w:r>
      <w:r w:rsidRPr="00BD290F">
        <w:rPr>
          <w:rFonts w:eastAsia="Times New Roman"/>
          <w:i/>
          <w:iCs/>
          <w:spacing w:val="-2"/>
          <w:szCs w:val="28"/>
        </w:rPr>
        <w:t xml:space="preserve"> tháng </w:t>
      </w:r>
      <w:r w:rsidR="00377F17" w:rsidRPr="00BD290F">
        <w:rPr>
          <w:rFonts w:eastAsia="Times New Roman"/>
          <w:i/>
          <w:iCs/>
          <w:spacing w:val="-2"/>
          <w:szCs w:val="28"/>
        </w:rPr>
        <w:t>…</w:t>
      </w:r>
      <w:r w:rsidRPr="00BD290F">
        <w:rPr>
          <w:rFonts w:eastAsia="Times New Roman"/>
          <w:i/>
          <w:iCs/>
          <w:spacing w:val="-2"/>
          <w:szCs w:val="28"/>
        </w:rPr>
        <w:t xml:space="preserve"> năm 202</w:t>
      </w:r>
      <w:r w:rsidR="00377F17" w:rsidRPr="00BD290F">
        <w:rPr>
          <w:rFonts w:eastAsia="Times New Roman"/>
          <w:i/>
          <w:iCs/>
          <w:spacing w:val="-2"/>
          <w:szCs w:val="28"/>
        </w:rPr>
        <w:t>5</w:t>
      </w:r>
      <w:r w:rsidRPr="00BD290F">
        <w:rPr>
          <w:rFonts w:eastAsia="Times New Roman"/>
          <w:i/>
          <w:iCs/>
          <w:spacing w:val="-2"/>
          <w:szCs w:val="28"/>
        </w:rPr>
        <w:t xml:space="preserve"> của Ủy ban nhân dân tỉnh </w:t>
      </w:r>
      <w:r w:rsidR="00377F17" w:rsidRPr="00BD290F">
        <w:rPr>
          <w:rFonts w:eastAsia="Times New Roman"/>
          <w:i/>
          <w:iCs/>
          <w:spacing w:val="-2"/>
          <w:szCs w:val="28"/>
        </w:rPr>
        <w:t>Tuyên Quang</w:t>
      </w:r>
      <w:r w:rsidRPr="00BD290F">
        <w:rPr>
          <w:rFonts w:eastAsia="Times New Roman"/>
          <w:i/>
          <w:iCs/>
          <w:spacing w:val="-2"/>
          <w:szCs w:val="28"/>
        </w:rPr>
        <w:t xml:space="preserve"> về việc đề nghị ban hành Nghị quyết của HĐND tỉnh </w:t>
      </w:r>
      <w:r w:rsidR="000B2960" w:rsidRPr="00BD290F">
        <w:rPr>
          <w:i/>
          <w:iCs/>
          <w:szCs w:val="28"/>
          <w:lang w:eastAsia="vi-VN" w:bidi="vi-VN"/>
        </w:rPr>
        <w:t>Quy định nguyên tắc</w:t>
      </w:r>
      <w:r w:rsidR="000B2960" w:rsidRPr="00BD290F">
        <w:rPr>
          <w:i/>
          <w:iCs/>
          <w:szCs w:val="28"/>
          <w:lang w:val="nl-NL"/>
        </w:rPr>
        <w:t>, tiêu chí, định mức phân bổ vốn ngân sách trung ương và tỷ lệ vốn đối ứng của ngân sách địa phương thực hiện Chương trình mục tiêu quốc gia giảm nghèo bền vững giai đoạn 2021-2025</w:t>
      </w:r>
      <w:r w:rsidR="000B2960" w:rsidRPr="00BD290F">
        <w:rPr>
          <w:i/>
          <w:iCs/>
          <w:szCs w:val="28"/>
        </w:rPr>
        <w:t xml:space="preserve"> trên địa bàn tỉnh Tuyên Quang theo trình tự, thủ tục rút gọn</w:t>
      </w:r>
      <w:r w:rsidRPr="00BD290F">
        <w:rPr>
          <w:rFonts w:ascii="Times New Roman Italic" w:eastAsia="Times New Roman" w:hAnsi="Times New Roman Italic"/>
          <w:i/>
          <w:iCs/>
          <w:spacing w:val="-2"/>
          <w:szCs w:val="28"/>
        </w:rPr>
        <w:t xml:space="preserve">; Báo cáo thẩm tra số: </w:t>
      </w:r>
      <w:r w:rsidR="000B2960" w:rsidRPr="00BD290F">
        <w:rPr>
          <w:rFonts w:ascii="Times New Roman Italic" w:eastAsia="Times New Roman" w:hAnsi="Times New Roman Italic"/>
          <w:i/>
          <w:iCs/>
          <w:spacing w:val="-2"/>
          <w:szCs w:val="28"/>
        </w:rPr>
        <w:t>…..</w:t>
      </w:r>
      <w:r w:rsidRPr="00BD290F">
        <w:rPr>
          <w:rFonts w:ascii="Times New Roman Italic" w:eastAsia="Times New Roman" w:hAnsi="Times New Roman Italic"/>
          <w:i/>
          <w:iCs/>
          <w:spacing w:val="-2"/>
          <w:szCs w:val="28"/>
        </w:rPr>
        <w:t xml:space="preserve">/BC-VHXH ngày </w:t>
      </w:r>
      <w:r w:rsidR="000B2960" w:rsidRPr="00BD290F">
        <w:rPr>
          <w:rFonts w:ascii="Times New Roman Italic" w:eastAsia="Times New Roman" w:hAnsi="Times New Roman Italic"/>
          <w:i/>
          <w:iCs/>
          <w:spacing w:val="-2"/>
          <w:szCs w:val="28"/>
        </w:rPr>
        <w:t>……</w:t>
      </w:r>
      <w:r w:rsidRPr="00BD290F">
        <w:rPr>
          <w:rFonts w:ascii="Times New Roman Italic" w:eastAsia="Times New Roman" w:hAnsi="Times New Roman Italic"/>
          <w:i/>
          <w:iCs/>
          <w:spacing w:val="-2"/>
          <w:szCs w:val="28"/>
        </w:rPr>
        <w:t xml:space="preserve"> tháng </w:t>
      </w:r>
      <w:r w:rsidR="000B2960" w:rsidRPr="00BD290F">
        <w:rPr>
          <w:rFonts w:ascii="Times New Roman Italic" w:eastAsia="Times New Roman" w:hAnsi="Times New Roman Italic"/>
          <w:i/>
          <w:iCs/>
          <w:spacing w:val="-2"/>
          <w:szCs w:val="28"/>
        </w:rPr>
        <w:t>….</w:t>
      </w:r>
      <w:r w:rsidRPr="00BD290F">
        <w:rPr>
          <w:rFonts w:ascii="Times New Roman Italic" w:eastAsia="Times New Roman" w:hAnsi="Times New Roman Italic"/>
          <w:i/>
          <w:iCs/>
          <w:spacing w:val="-2"/>
          <w:szCs w:val="28"/>
        </w:rPr>
        <w:t xml:space="preserve"> năm 202</w:t>
      </w:r>
      <w:r w:rsidR="000B2960" w:rsidRPr="00BD290F">
        <w:rPr>
          <w:rFonts w:ascii="Times New Roman Italic" w:eastAsia="Times New Roman" w:hAnsi="Times New Roman Italic"/>
          <w:i/>
          <w:iCs/>
          <w:spacing w:val="-2"/>
          <w:szCs w:val="28"/>
        </w:rPr>
        <w:t>5</w:t>
      </w:r>
      <w:r w:rsidRPr="00BD290F">
        <w:rPr>
          <w:rFonts w:ascii="Times New Roman Italic" w:eastAsia="Times New Roman" w:hAnsi="Times New Roman Italic"/>
          <w:i/>
          <w:iCs/>
          <w:spacing w:val="-2"/>
          <w:szCs w:val="28"/>
        </w:rPr>
        <w:t xml:space="preserve"> của Ban </w:t>
      </w:r>
      <w:r w:rsidR="00A86138" w:rsidRPr="00BD290F">
        <w:rPr>
          <w:rFonts w:ascii="Times New Roman Italic" w:eastAsia="Times New Roman" w:hAnsi="Times New Roman Italic"/>
          <w:i/>
          <w:iCs/>
          <w:spacing w:val="-2"/>
          <w:szCs w:val="28"/>
        </w:rPr>
        <w:t>Dân tộc</w:t>
      </w:r>
      <w:r w:rsidRPr="00BD290F">
        <w:rPr>
          <w:rFonts w:ascii="Times New Roman Italic" w:eastAsia="Times New Roman" w:hAnsi="Times New Roman Italic"/>
          <w:i/>
          <w:iCs/>
          <w:spacing w:val="-2"/>
          <w:szCs w:val="28"/>
        </w:rPr>
        <w:t xml:space="preserve"> Hội đồng nhân dân tỉnh; ý kiến thảo luận của đại biểu Hội đồng nhân dân tỉnh tại kỳ họp</w:t>
      </w:r>
      <w:r w:rsidR="00D5614C" w:rsidRPr="00BD290F">
        <w:rPr>
          <w:rFonts w:ascii="Times New Roman Italic" w:eastAsia="Times New Roman" w:hAnsi="Times New Roman Italic"/>
          <w:i/>
          <w:iCs/>
          <w:spacing w:val="-2"/>
          <w:szCs w:val="28"/>
        </w:rPr>
        <w:t>;</w:t>
      </w:r>
    </w:p>
    <w:p w14:paraId="01708C78" w14:textId="516AB33C" w:rsidR="00D5614C" w:rsidRPr="00BD290F" w:rsidRDefault="00D5614C" w:rsidP="00737B75">
      <w:pPr>
        <w:spacing w:before="120" w:after="120" w:line="360" w:lineRule="exact"/>
        <w:ind w:firstLine="720"/>
        <w:jc w:val="both"/>
        <w:rPr>
          <w:rFonts w:ascii="Times New Roman Italic" w:eastAsia="Times New Roman" w:hAnsi="Times New Roman Italic"/>
          <w:spacing w:val="-2"/>
          <w:szCs w:val="28"/>
        </w:rPr>
      </w:pPr>
      <w:r w:rsidRPr="00BD290F">
        <w:rPr>
          <w:rFonts w:ascii="Times New Roman Italic" w:eastAsia="Times New Roman" w:hAnsi="Times New Roman Italic"/>
          <w:i/>
          <w:iCs/>
          <w:spacing w:val="-2"/>
          <w:szCs w:val="28"/>
        </w:rPr>
        <w:t xml:space="preserve">Hội đồng nhân dân ban hành Nghị quyết </w:t>
      </w:r>
      <w:r w:rsidRPr="00BD290F">
        <w:rPr>
          <w:i/>
          <w:iCs/>
          <w:szCs w:val="28"/>
          <w:lang w:eastAsia="vi-VN" w:bidi="vi-VN"/>
        </w:rPr>
        <w:t>Quy định nguyên tắc</w:t>
      </w:r>
      <w:r w:rsidRPr="00BD290F">
        <w:rPr>
          <w:i/>
          <w:iCs/>
          <w:szCs w:val="28"/>
          <w:lang w:val="nl-NL"/>
        </w:rPr>
        <w:t xml:space="preserve">, tiêu chí, định mức phân bổ vốn ngân sách trung ương và tỷ lệ vốn đối ứng của ngân sách địa phương thực hiện Chương trình mục tiêu quốc gia giảm nghèo bền vững </w:t>
      </w:r>
      <w:r w:rsidR="00A86138" w:rsidRPr="00BD290F">
        <w:rPr>
          <w:i/>
          <w:iCs/>
          <w:szCs w:val="28"/>
        </w:rPr>
        <w:t>trên địa bàn tỉnh Tuyên Quang,</w:t>
      </w:r>
      <w:r w:rsidR="00A86138" w:rsidRPr="00BD290F">
        <w:rPr>
          <w:i/>
          <w:iCs/>
          <w:szCs w:val="28"/>
          <w:lang w:val="nl-NL"/>
        </w:rPr>
        <w:t xml:space="preserve"> </w:t>
      </w:r>
      <w:r w:rsidRPr="00BD290F">
        <w:rPr>
          <w:i/>
          <w:iCs/>
          <w:szCs w:val="28"/>
          <w:lang w:val="nl-NL"/>
        </w:rPr>
        <w:t>giai đoạn 2021-2025</w:t>
      </w:r>
      <w:r w:rsidRPr="00BD290F">
        <w:rPr>
          <w:i/>
          <w:iCs/>
          <w:szCs w:val="28"/>
        </w:rPr>
        <w:t>.</w:t>
      </w:r>
    </w:p>
    <w:p w14:paraId="32B589CE" w14:textId="77777777" w:rsidR="00A86138" w:rsidRPr="00BD290F" w:rsidRDefault="00A86138" w:rsidP="00737B75">
      <w:pPr>
        <w:shd w:val="clear" w:color="auto" w:fill="FFFFFF"/>
        <w:spacing w:before="120" w:after="120" w:line="360" w:lineRule="exact"/>
        <w:ind w:firstLine="720"/>
        <w:jc w:val="both"/>
        <w:rPr>
          <w:rFonts w:eastAsia="Times New Roman"/>
          <w:b/>
          <w:bCs/>
          <w:szCs w:val="28"/>
        </w:rPr>
      </w:pPr>
      <w:bookmarkStart w:id="2" w:name="dieu_1"/>
      <w:r w:rsidRPr="00BD290F">
        <w:rPr>
          <w:rFonts w:eastAsia="Times New Roman"/>
          <w:b/>
          <w:bCs/>
          <w:szCs w:val="28"/>
        </w:rPr>
        <w:t>Điều 1. Phạm vi điều chỉnh</w:t>
      </w:r>
    </w:p>
    <w:p w14:paraId="79747EF2"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Nghị quyết này quy định nguyên tắc, tiêu chí, định mức phân bổ vốn ngân sách trung ương và mức vốn đối ứng từ ngân sách địa phương thực hiện Chương trình mục tiêu quốc gia giảm nghèo bền vững giai đoạn 2021 - 2025 trên địa bàn tỉnh Tuyên Quang theo trình tự, thủ tục rút gọn (Sau đây gọi tắt là Chương trình).</w:t>
      </w:r>
    </w:p>
    <w:p w14:paraId="05370553"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b/>
          <w:bCs/>
          <w:szCs w:val="28"/>
        </w:rPr>
        <w:t>Điều 2. Đối tượng áp dụng</w:t>
      </w:r>
    </w:p>
    <w:p w14:paraId="2AD3FAEC"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1. Các Sở, ban, ngành, Ủy ban nhân dân các xã, phường và các đơn vị sử dụng kinh phí Chương trình.</w:t>
      </w:r>
    </w:p>
    <w:p w14:paraId="214E0B4D" w14:textId="77777777" w:rsidR="00A86138" w:rsidRPr="00BD290F" w:rsidRDefault="00A86138" w:rsidP="00737B75">
      <w:pPr>
        <w:shd w:val="clear" w:color="auto" w:fill="FFFFFF"/>
        <w:spacing w:before="120" w:after="120" w:line="360" w:lineRule="exact"/>
        <w:ind w:firstLine="720"/>
        <w:jc w:val="both"/>
        <w:rPr>
          <w:rFonts w:eastAsia="Times New Roman"/>
          <w:spacing w:val="-6"/>
          <w:szCs w:val="28"/>
        </w:rPr>
      </w:pPr>
      <w:r w:rsidRPr="00BD290F">
        <w:rPr>
          <w:rFonts w:eastAsia="Times New Roman"/>
          <w:spacing w:val="-6"/>
          <w:szCs w:val="28"/>
        </w:rPr>
        <w:t>2. Cơ quan, tổ chức tham gia hoặc có liên quan đến lập, thực hiện kế hoạch đầu tư công trung hạn và hàng năm từ nguồn ngân sách nhà nước thuộc Chương trình.</w:t>
      </w:r>
    </w:p>
    <w:p w14:paraId="4A143B19"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b/>
          <w:bCs/>
          <w:szCs w:val="28"/>
        </w:rPr>
        <w:t>Điều 3. Nguyên tắc phân bổ vốn</w:t>
      </w:r>
    </w:p>
    <w:p w14:paraId="052C1BC8"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1. Việc phân bổ vốn đầu tư phát triển và kinh phí sự nghiệp từ nguồn ngân sách nhà nước thuộc Chương trình phải tuân thủ các quy định của pháp luật về đầu tư công, ngân sách nhà nước và các văn bản pháp luật có liên quan.</w:t>
      </w:r>
    </w:p>
    <w:p w14:paraId="08327823" w14:textId="77777777" w:rsidR="00A86138" w:rsidRPr="00BD290F" w:rsidRDefault="00A86138" w:rsidP="00737B75">
      <w:pPr>
        <w:shd w:val="clear" w:color="auto" w:fill="FFFFFF"/>
        <w:spacing w:before="120" w:after="120" w:line="360" w:lineRule="exact"/>
        <w:ind w:firstLine="709"/>
        <w:jc w:val="both"/>
        <w:rPr>
          <w:rFonts w:eastAsia="Times New Roman"/>
          <w:spacing w:val="-2"/>
          <w:szCs w:val="28"/>
        </w:rPr>
      </w:pPr>
      <w:r w:rsidRPr="00BD290F">
        <w:rPr>
          <w:rFonts w:eastAsia="Times New Roman"/>
          <w:spacing w:val="-2"/>
          <w:szCs w:val="28"/>
        </w:rPr>
        <w:t>2. Bảo đảm công khai, minh bạch, quản lý tập trung, thống nhất về mục tiêu cơ chế, chính sách; thực hiện phân cấp trong quản lý đầu tư theo quy định của pháp luật, tạo quyền chủ động cho các sở, ban, ngành và các cấp chính quyền địa phương.</w:t>
      </w:r>
    </w:p>
    <w:p w14:paraId="13379E33"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3. Việc phân bổ vốn đầu tư phát triển và kinh phí sự nghiệp từ nguồn ngân sách nhà nước thuộc Chương trình nhằm thực hiện hiệu quả các mục tiêu, nhiệm vụ của Chương trình; đầu tư có trọng tâm, trọng điểm và bền vững, trọng tâm là các xã có</w:t>
      </w:r>
      <w:r w:rsidRPr="00BD290F">
        <w:rPr>
          <w:rFonts w:eastAsia="Times New Roman"/>
          <w:szCs w:val="28"/>
          <w:lang w:val="vi-VN"/>
        </w:rPr>
        <w:t xml:space="preserve"> tỷ lệ nghèo đa chiều cao</w:t>
      </w:r>
      <w:r w:rsidRPr="00BD290F">
        <w:rPr>
          <w:rFonts w:eastAsia="Times New Roman"/>
          <w:szCs w:val="28"/>
        </w:rPr>
        <w:t>.</w:t>
      </w:r>
    </w:p>
    <w:p w14:paraId="57BCC8F1"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 xml:space="preserve">4. Việc phân bổ cụ thể ngân sách nhà nước và mức vốn đối ứng từ ngân sách địa phương phải phù hợp với tình hình thực tế, khả năng cân đối của ngân </w:t>
      </w:r>
      <w:r w:rsidRPr="00BD290F">
        <w:rPr>
          <w:rFonts w:eastAsia="Times New Roman"/>
          <w:szCs w:val="28"/>
        </w:rPr>
        <w:lastRenderedPageBreak/>
        <w:t>sách nhà nước; nhiệm vụ, dự kiến kết quả thực hiện kế hoạch hằng năm và tỷ lệ giải ngân vốn đầu tư công, kết quả thực hiện vốn đầu tư công năm trước.</w:t>
      </w:r>
    </w:p>
    <w:p w14:paraId="0075AB28"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5. Không phân bổ vốn của Chương trình để chi cho các hoạt động thuộc nhiệm vụ quản lý nhà nước đã được bố trí đầy đủ từ nguồn vốn chi thường xuyên.</w:t>
      </w:r>
    </w:p>
    <w:p w14:paraId="3D33DCB2"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6. Đảm bảo thực hiện hiệu quả các mục tiêu, nhiệm vụ của Chương trình mục tiêu quốc gia giảm nghèo bền vững trên địa bàn tỉnh Tuyên Quang, giai đoạn 2021 - 2025 và lồng ghép hiệu quả nguồn vốn của Chương trình để phấn đấu hoàn thành các tiêu chí tại các xã, thôn thuộc Chương trình mục tiêu quốc gia xây dựng nông thôn mới giai đoạn 2022 - 2025 trên địa bàn tỉnh Tuyên Quang.</w:t>
      </w:r>
    </w:p>
    <w:p w14:paraId="3C1AA049"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b/>
          <w:bCs/>
          <w:szCs w:val="28"/>
        </w:rPr>
        <w:t>Điều 4. Quy định chung về tiêu chí phân bổ vốn</w:t>
      </w:r>
    </w:p>
    <w:p w14:paraId="67984D45" w14:textId="32A6E154" w:rsidR="00A57B6C" w:rsidRPr="00BD290F" w:rsidRDefault="00A57B6C" w:rsidP="00A57B6C">
      <w:pPr>
        <w:shd w:val="clear" w:color="auto" w:fill="FFFFFF"/>
        <w:spacing w:before="120" w:after="120" w:line="360" w:lineRule="exact"/>
        <w:ind w:firstLine="709"/>
        <w:jc w:val="both"/>
        <w:rPr>
          <w:rFonts w:eastAsia="Times New Roman"/>
          <w:szCs w:val="28"/>
        </w:rPr>
      </w:pPr>
      <w:bookmarkStart w:id="3" w:name="_Hlk209508740"/>
      <w:r w:rsidRPr="00BD290F">
        <w:rPr>
          <w:rFonts w:eastAsia="Times New Roman"/>
          <w:szCs w:val="28"/>
        </w:rPr>
        <w:t xml:space="preserve">1. Quy mô dân </w:t>
      </w:r>
      <w:r w:rsidR="009E5C62" w:rsidRPr="00BD290F">
        <w:rPr>
          <w:rFonts w:eastAsia="Times New Roman"/>
          <w:szCs w:val="28"/>
        </w:rPr>
        <w:t>s</w:t>
      </w:r>
      <w:r w:rsidRPr="00BD290F">
        <w:rPr>
          <w:rFonts w:eastAsia="Times New Roman"/>
          <w:szCs w:val="28"/>
        </w:rPr>
        <w:t xml:space="preserve">ố được xác định căn cứ vào số liệu </w:t>
      </w:r>
      <w:r w:rsidR="00DA04F4">
        <w:rPr>
          <w:szCs w:val="28"/>
        </w:rPr>
        <w:t>t</w:t>
      </w:r>
      <w:r w:rsidR="00DA04F4" w:rsidRPr="00CA5A76">
        <w:rPr>
          <w:szCs w:val="28"/>
        </w:rPr>
        <w:t xml:space="preserve">hống kê </w:t>
      </w:r>
      <w:r w:rsidR="00DA04F4">
        <w:rPr>
          <w:szCs w:val="28"/>
        </w:rPr>
        <w:t xml:space="preserve">công bố </w:t>
      </w:r>
      <w:r w:rsidRPr="00BD290F">
        <w:rPr>
          <w:rFonts w:eastAsia="Times New Roman"/>
          <w:szCs w:val="28"/>
        </w:rPr>
        <w:t>năm 2024</w:t>
      </w:r>
      <w:r w:rsidR="00597732" w:rsidRPr="00BD290F">
        <w:rPr>
          <w:rFonts w:eastAsia="Times New Roman"/>
          <w:szCs w:val="28"/>
        </w:rPr>
        <w:t xml:space="preserve"> trên địa bàn các xã, phường của tỉnh Tuyên Quang và tỉnh Hà Giang trước thời điểm sáp nhập.</w:t>
      </w:r>
    </w:p>
    <w:p w14:paraId="325B4D43" w14:textId="6F5B8018"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2. Số hộ nghèo, hộ cận nghèo và tỷ lệ hộ nghèo, cận nghèo của các xã, phường được xác định căn cứ theo kết quả</w:t>
      </w:r>
      <w:r w:rsidRPr="00BD290F">
        <w:rPr>
          <w:rFonts w:eastAsia="Times New Roman"/>
          <w:szCs w:val="28"/>
          <w:lang w:val="vi-VN"/>
        </w:rPr>
        <w:t xml:space="preserve"> phê duyệt</w:t>
      </w:r>
      <w:r w:rsidRPr="00BD290F">
        <w:rPr>
          <w:rFonts w:eastAsia="Times New Roman"/>
          <w:szCs w:val="28"/>
        </w:rPr>
        <w:t xml:space="preserve"> tổng rà soát hộ nghèo, hộ cận nghèo cuối năm 2024 (</w:t>
      </w:r>
      <w:r w:rsidR="00A4793C" w:rsidRPr="00BD290F">
        <w:rPr>
          <w:rFonts w:eastAsia="Times New Roman"/>
          <w:szCs w:val="28"/>
        </w:rPr>
        <w:t>t</w:t>
      </w:r>
      <w:r w:rsidRPr="00BD290F">
        <w:rPr>
          <w:rFonts w:eastAsia="Times New Roman"/>
          <w:szCs w:val="28"/>
        </w:rPr>
        <w:t>heo chuẩn nghèo đa chiều giai đoạn 2022-2025)</w:t>
      </w:r>
      <w:r w:rsidR="00A4793C" w:rsidRPr="00BD290F">
        <w:rPr>
          <w:rFonts w:eastAsia="Times New Roman"/>
          <w:szCs w:val="28"/>
        </w:rPr>
        <w:t xml:space="preserve"> trên địa bàn các xã, phường của tỉnh Tuyên Quang và tỉnh Hà Giang trước thời điểm sáp nhập</w:t>
      </w:r>
      <w:r w:rsidRPr="00BD290F">
        <w:rPr>
          <w:rFonts w:eastAsia="Times New Roman"/>
          <w:szCs w:val="28"/>
        </w:rPr>
        <w:t>.</w:t>
      </w:r>
    </w:p>
    <w:bookmarkEnd w:id="3"/>
    <w:p w14:paraId="3969860D"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b/>
          <w:bCs/>
          <w:szCs w:val="28"/>
        </w:rPr>
        <w:t>Điều 5. Quy định cụ thể tiêu chí phân bổ và xác định hệ số, định mức của từng tiêu chí</w:t>
      </w:r>
    </w:p>
    <w:p w14:paraId="20487EC3" w14:textId="77777777" w:rsidR="00A86138" w:rsidRPr="00BD290F" w:rsidRDefault="00A86138" w:rsidP="00737B75">
      <w:pPr>
        <w:shd w:val="clear" w:color="auto" w:fill="FFFFFF"/>
        <w:spacing w:before="120" w:after="120" w:line="360" w:lineRule="exact"/>
        <w:ind w:firstLine="709"/>
        <w:jc w:val="both"/>
        <w:rPr>
          <w:rFonts w:eastAsia="Times New Roman"/>
          <w:b/>
          <w:szCs w:val="28"/>
          <w:lang w:val="vi-VN"/>
        </w:rPr>
      </w:pPr>
      <w:r w:rsidRPr="00BD290F">
        <w:rPr>
          <w:rFonts w:eastAsia="Times New Roman"/>
          <w:b/>
          <w:szCs w:val="28"/>
        </w:rPr>
        <w:t>1. Dự án 1: Hỗ trợ đầu tư phát triển hạ tầng kinh tế - xã hội các</w:t>
      </w:r>
      <w:r w:rsidRPr="00BD290F">
        <w:rPr>
          <w:rFonts w:eastAsia="Times New Roman"/>
          <w:b/>
          <w:szCs w:val="28"/>
          <w:lang w:val="vi-VN"/>
        </w:rPr>
        <w:t xml:space="preserve"> xã thuộc các</w:t>
      </w:r>
      <w:r w:rsidRPr="00BD290F">
        <w:rPr>
          <w:rFonts w:eastAsia="Times New Roman"/>
          <w:b/>
          <w:szCs w:val="28"/>
        </w:rPr>
        <w:t xml:space="preserve"> huyện nghèo</w:t>
      </w:r>
      <w:r w:rsidRPr="00BD290F">
        <w:rPr>
          <w:rFonts w:eastAsia="Times New Roman"/>
          <w:b/>
          <w:szCs w:val="28"/>
          <w:lang w:val="vi-VN"/>
        </w:rPr>
        <w:t xml:space="preserve"> trước khi sáp nhập chính quyền địa phương 2 cấp.</w:t>
      </w:r>
    </w:p>
    <w:p w14:paraId="1833B0BF" w14:textId="77777777" w:rsidR="00A86138" w:rsidRPr="00BD290F" w:rsidRDefault="00A86138" w:rsidP="00737B75">
      <w:pPr>
        <w:shd w:val="clear" w:color="auto" w:fill="FFFFFF"/>
        <w:spacing w:before="120" w:after="120" w:line="360" w:lineRule="exact"/>
        <w:ind w:firstLine="709"/>
        <w:jc w:val="both"/>
        <w:rPr>
          <w:rFonts w:eastAsia="Times New Roman"/>
          <w:szCs w:val="28"/>
          <w:lang w:val="vi-VN"/>
        </w:rPr>
      </w:pPr>
      <w:r w:rsidRPr="00BD290F">
        <w:rPr>
          <w:rFonts w:eastAsia="Times New Roman"/>
          <w:szCs w:val="28"/>
        </w:rPr>
        <w:t>a) Phân bổ 100% vốn ngân sách trung ương của Tiểu dự án 1 cho các</w:t>
      </w:r>
      <w:r w:rsidRPr="00BD290F">
        <w:rPr>
          <w:rFonts w:eastAsia="Times New Roman"/>
          <w:szCs w:val="28"/>
          <w:lang w:val="vi-VN"/>
        </w:rPr>
        <w:t xml:space="preserve"> xã thuộc các</w:t>
      </w:r>
      <w:r w:rsidRPr="00BD290F">
        <w:rPr>
          <w:rFonts w:eastAsia="Times New Roman"/>
          <w:szCs w:val="28"/>
        </w:rPr>
        <w:t xml:space="preserve"> huyện nghèo</w:t>
      </w:r>
      <w:r w:rsidRPr="00BD290F">
        <w:rPr>
          <w:rFonts w:eastAsia="Times New Roman"/>
          <w:szCs w:val="28"/>
          <w:lang w:val="vi-VN"/>
        </w:rPr>
        <w:t xml:space="preserve"> giai đoạn 2021-2025 trước đây do Thủ tướng Chính phủ quy định.</w:t>
      </w:r>
    </w:p>
    <w:p w14:paraId="121041D1"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b) Tiêu chí phân bổ vốn: 02 tiêu chí, gồm: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97"/>
        <w:gridCol w:w="1555"/>
      </w:tblGrid>
      <w:tr w:rsidR="00BD290F" w:rsidRPr="00BD290F" w14:paraId="2EB5CF14" w14:textId="77777777" w:rsidTr="00AC39D1">
        <w:trPr>
          <w:tblCellSpacing w:w="0" w:type="dxa"/>
        </w:trPr>
        <w:tc>
          <w:tcPr>
            <w:tcW w:w="4141" w:type="pct"/>
            <w:tcBorders>
              <w:top w:val="single" w:sz="8" w:space="0" w:color="000000"/>
              <w:left w:val="single" w:sz="8" w:space="0" w:color="000000"/>
              <w:bottom w:val="single" w:sz="8" w:space="0" w:color="000000"/>
              <w:right w:val="single" w:sz="8" w:space="0" w:color="000000"/>
            </w:tcBorders>
            <w:vAlign w:val="center"/>
            <w:hideMark/>
          </w:tcPr>
          <w:p w14:paraId="14B9ABC5" w14:textId="77777777" w:rsidR="00A86138" w:rsidRPr="00BD290F" w:rsidRDefault="00A86138" w:rsidP="00A90BA6">
            <w:pPr>
              <w:spacing w:before="60" w:after="60" w:line="240" w:lineRule="auto"/>
              <w:jc w:val="both"/>
              <w:rPr>
                <w:rFonts w:eastAsia="Times New Roman"/>
                <w:szCs w:val="28"/>
                <w:lang w:val="vi-VN"/>
              </w:rPr>
            </w:pPr>
            <w:r w:rsidRPr="00BD290F">
              <w:rPr>
                <w:rFonts w:eastAsia="Times New Roman"/>
                <w:b/>
                <w:bCs/>
                <w:szCs w:val="28"/>
              </w:rPr>
              <w:t>Quy mô dân số của</w:t>
            </w:r>
            <w:r w:rsidRPr="00BD290F">
              <w:rPr>
                <w:rFonts w:eastAsia="Times New Roman"/>
                <w:b/>
                <w:bCs/>
                <w:szCs w:val="28"/>
                <w:lang w:val="vi-VN"/>
              </w:rPr>
              <w:t xml:space="preserve"> xã</w:t>
            </w:r>
          </w:p>
        </w:tc>
        <w:tc>
          <w:tcPr>
            <w:tcW w:w="859" w:type="pct"/>
            <w:tcBorders>
              <w:top w:val="single" w:sz="8" w:space="0" w:color="000000"/>
              <w:left w:val="nil"/>
              <w:bottom w:val="single" w:sz="8" w:space="0" w:color="000000"/>
              <w:right w:val="single" w:sz="8" w:space="0" w:color="000000"/>
            </w:tcBorders>
            <w:vAlign w:val="center"/>
            <w:hideMark/>
          </w:tcPr>
          <w:p w14:paraId="31FF6AED" w14:textId="77777777" w:rsidR="00A86138" w:rsidRPr="00BD290F" w:rsidRDefault="00A86138" w:rsidP="00A90BA6">
            <w:pPr>
              <w:spacing w:before="60" w:after="60" w:line="240" w:lineRule="auto"/>
              <w:jc w:val="center"/>
              <w:rPr>
                <w:rFonts w:eastAsia="Times New Roman"/>
                <w:szCs w:val="28"/>
              </w:rPr>
            </w:pPr>
            <w:r w:rsidRPr="00BD290F">
              <w:rPr>
                <w:rFonts w:eastAsia="Times New Roman"/>
                <w:b/>
                <w:bCs/>
                <w:szCs w:val="28"/>
              </w:rPr>
              <w:t>Hệ số</w:t>
            </w:r>
          </w:p>
        </w:tc>
      </w:tr>
      <w:tr w:rsidR="00BD290F" w:rsidRPr="00BD290F" w14:paraId="436B9DAA" w14:textId="77777777" w:rsidTr="00AC39D1">
        <w:trPr>
          <w:tblCellSpacing w:w="0" w:type="dxa"/>
        </w:trPr>
        <w:tc>
          <w:tcPr>
            <w:tcW w:w="4141" w:type="pct"/>
            <w:tcBorders>
              <w:top w:val="nil"/>
              <w:left w:val="single" w:sz="8" w:space="0" w:color="000000"/>
              <w:bottom w:val="single" w:sz="8" w:space="0" w:color="000000"/>
              <w:right w:val="single" w:sz="8" w:space="0" w:color="000000"/>
            </w:tcBorders>
            <w:vAlign w:val="center"/>
            <w:hideMark/>
          </w:tcPr>
          <w:p w14:paraId="0FD608F6" w14:textId="6DB22019" w:rsidR="00A86138" w:rsidRPr="00BD290F" w:rsidRDefault="00A86138" w:rsidP="00A90BA6">
            <w:pPr>
              <w:spacing w:before="60" w:after="60" w:line="240" w:lineRule="auto"/>
              <w:rPr>
                <w:rFonts w:eastAsia="Times New Roman"/>
                <w:szCs w:val="28"/>
              </w:rPr>
            </w:pPr>
            <w:r w:rsidRPr="00BD290F">
              <w:rPr>
                <w:rFonts w:eastAsia="Times New Roman"/>
                <w:szCs w:val="28"/>
                <w:lang w:val="vi-VN"/>
              </w:rPr>
              <w:t xml:space="preserve"> D</w:t>
            </w:r>
            <w:r w:rsidRPr="00BD290F">
              <w:rPr>
                <w:rFonts w:eastAsia="Times New Roman"/>
                <w:szCs w:val="28"/>
              </w:rPr>
              <w:t xml:space="preserve">ưới </w:t>
            </w:r>
            <w:r w:rsidR="00212CF9" w:rsidRPr="00BD290F">
              <w:rPr>
                <w:rFonts w:eastAsia="Times New Roman"/>
                <w:szCs w:val="28"/>
              </w:rPr>
              <w:t>5</w:t>
            </w:r>
            <w:r w:rsidRPr="00BD290F">
              <w:rPr>
                <w:rFonts w:eastAsia="Times New Roman"/>
                <w:szCs w:val="28"/>
              </w:rPr>
              <w:t>.000 hộ</w:t>
            </w:r>
          </w:p>
        </w:tc>
        <w:tc>
          <w:tcPr>
            <w:tcW w:w="859" w:type="pct"/>
            <w:tcBorders>
              <w:top w:val="nil"/>
              <w:left w:val="nil"/>
              <w:bottom w:val="single" w:sz="8" w:space="0" w:color="000000"/>
              <w:right w:val="single" w:sz="8" w:space="0" w:color="000000"/>
            </w:tcBorders>
            <w:vAlign w:val="center"/>
            <w:hideMark/>
          </w:tcPr>
          <w:p w14:paraId="21227EEA" w14:textId="77777777" w:rsidR="00A86138" w:rsidRPr="00BD290F" w:rsidRDefault="00A86138" w:rsidP="00A90BA6">
            <w:pPr>
              <w:spacing w:before="60" w:after="60" w:line="240" w:lineRule="auto"/>
              <w:jc w:val="center"/>
              <w:rPr>
                <w:rFonts w:eastAsia="Times New Roman"/>
                <w:szCs w:val="28"/>
              </w:rPr>
            </w:pPr>
            <w:r w:rsidRPr="00BD290F">
              <w:rPr>
                <w:rFonts w:eastAsia="Times New Roman"/>
                <w:szCs w:val="28"/>
              </w:rPr>
              <w:t>0,17</w:t>
            </w:r>
          </w:p>
        </w:tc>
      </w:tr>
      <w:tr w:rsidR="00BD290F" w:rsidRPr="00BD290F" w14:paraId="6BFC03EE" w14:textId="77777777" w:rsidTr="00AC39D1">
        <w:trPr>
          <w:tblCellSpacing w:w="0" w:type="dxa"/>
        </w:trPr>
        <w:tc>
          <w:tcPr>
            <w:tcW w:w="4141" w:type="pct"/>
            <w:tcBorders>
              <w:top w:val="nil"/>
              <w:left w:val="single" w:sz="8" w:space="0" w:color="000000"/>
              <w:bottom w:val="single" w:sz="8" w:space="0" w:color="000000"/>
              <w:right w:val="single" w:sz="8" w:space="0" w:color="000000"/>
            </w:tcBorders>
            <w:vAlign w:val="center"/>
            <w:hideMark/>
          </w:tcPr>
          <w:p w14:paraId="128C679D" w14:textId="6B872D5B" w:rsidR="00A86138" w:rsidRPr="00BD290F" w:rsidRDefault="00A86138" w:rsidP="00A90BA6">
            <w:pPr>
              <w:spacing w:before="60" w:after="60" w:line="240" w:lineRule="auto"/>
              <w:rPr>
                <w:rFonts w:eastAsia="Times New Roman"/>
                <w:szCs w:val="28"/>
              </w:rPr>
            </w:pPr>
            <w:r w:rsidRPr="00BD290F">
              <w:rPr>
                <w:rFonts w:eastAsia="Times New Roman"/>
                <w:szCs w:val="28"/>
              </w:rPr>
              <w:t xml:space="preserve">Từ </w:t>
            </w:r>
            <w:r w:rsidR="00212CF9" w:rsidRPr="00BD290F">
              <w:rPr>
                <w:rFonts w:eastAsia="Times New Roman"/>
                <w:szCs w:val="28"/>
              </w:rPr>
              <w:t>5</w:t>
            </w:r>
            <w:r w:rsidRPr="00BD290F">
              <w:rPr>
                <w:rFonts w:eastAsia="Times New Roman"/>
                <w:szCs w:val="28"/>
              </w:rPr>
              <w:t>.000 hộ trở lên</w:t>
            </w:r>
          </w:p>
        </w:tc>
        <w:tc>
          <w:tcPr>
            <w:tcW w:w="859" w:type="pct"/>
            <w:tcBorders>
              <w:top w:val="nil"/>
              <w:left w:val="nil"/>
              <w:bottom w:val="single" w:sz="8" w:space="0" w:color="000000"/>
              <w:right w:val="single" w:sz="8" w:space="0" w:color="000000"/>
            </w:tcBorders>
            <w:vAlign w:val="center"/>
            <w:hideMark/>
          </w:tcPr>
          <w:p w14:paraId="2F6FB83F" w14:textId="77777777" w:rsidR="00A86138" w:rsidRPr="00BD290F" w:rsidRDefault="00A86138" w:rsidP="00A90BA6">
            <w:pPr>
              <w:spacing w:before="60" w:after="60" w:line="240" w:lineRule="auto"/>
              <w:jc w:val="center"/>
              <w:rPr>
                <w:rFonts w:eastAsia="Times New Roman"/>
                <w:szCs w:val="28"/>
              </w:rPr>
            </w:pPr>
            <w:r w:rsidRPr="00BD290F">
              <w:rPr>
                <w:rFonts w:eastAsia="Times New Roman"/>
                <w:szCs w:val="28"/>
              </w:rPr>
              <w:t>0,2</w:t>
            </w:r>
          </w:p>
        </w:tc>
      </w:tr>
      <w:tr w:rsidR="00BD290F" w:rsidRPr="00BD290F" w14:paraId="790755C3" w14:textId="77777777" w:rsidTr="00AC39D1">
        <w:trPr>
          <w:tblCellSpacing w:w="0" w:type="dxa"/>
        </w:trPr>
        <w:tc>
          <w:tcPr>
            <w:tcW w:w="4141" w:type="pct"/>
            <w:tcBorders>
              <w:top w:val="nil"/>
              <w:left w:val="single" w:sz="8" w:space="0" w:color="000000"/>
              <w:bottom w:val="single" w:sz="8" w:space="0" w:color="000000"/>
              <w:right w:val="single" w:sz="8" w:space="0" w:color="000000"/>
            </w:tcBorders>
            <w:vAlign w:val="center"/>
            <w:hideMark/>
          </w:tcPr>
          <w:p w14:paraId="3E2FA065" w14:textId="77777777" w:rsidR="00A86138" w:rsidRPr="00BD290F" w:rsidRDefault="00A86138" w:rsidP="00A90BA6">
            <w:pPr>
              <w:spacing w:before="60" w:after="60" w:line="240" w:lineRule="auto"/>
              <w:jc w:val="both"/>
              <w:rPr>
                <w:rFonts w:eastAsia="Times New Roman"/>
                <w:szCs w:val="28"/>
              </w:rPr>
            </w:pPr>
            <w:r w:rsidRPr="00BD290F">
              <w:rPr>
                <w:rFonts w:eastAsia="Times New Roman"/>
                <w:b/>
                <w:bCs/>
                <w:szCs w:val="28"/>
              </w:rPr>
              <w:t>Tổng tỷ lệ hộ nghèo và hộ cận nghèo của xã</w:t>
            </w:r>
          </w:p>
        </w:tc>
        <w:tc>
          <w:tcPr>
            <w:tcW w:w="859" w:type="pct"/>
            <w:tcBorders>
              <w:top w:val="nil"/>
              <w:left w:val="nil"/>
              <w:bottom w:val="single" w:sz="8" w:space="0" w:color="000000"/>
              <w:right w:val="single" w:sz="8" w:space="0" w:color="000000"/>
            </w:tcBorders>
            <w:vAlign w:val="center"/>
            <w:hideMark/>
          </w:tcPr>
          <w:p w14:paraId="442921ED" w14:textId="77777777" w:rsidR="00A86138" w:rsidRPr="00BD290F" w:rsidRDefault="00A86138" w:rsidP="00A90BA6">
            <w:pPr>
              <w:spacing w:before="60" w:after="60" w:line="240" w:lineRule="auto"/>
              <w:jc w:val="center"/>
              <w:rPr>
                <w:rFonts w:eastAsia="Times New Roman"/>
                <w:szCs w:val="28"/>
              </w:rPr>
            </w:pPr>
            <w:r w:rsidRPr="00BD290F">
              <w:rPr>
                <w:rFonts w:eastAsia="Times New Roman"/>
                <w:b/>
                <w:bCs/>
                <w:szCs w:val="28"/>
              </w:rPr>
              <w:t>Hệ số</w:t>
            </w:r>
          </w:p>
        </w:tc>
      </w:tr>
      <w:tr w:rsidR="00BD290F" w:rsidRPr="00BD290F" w14:paraId="429EC42B" w14:textId="77777777" w:rsidTr="00AC39D1">
        <w:trPr>
          <w:tblCellSpacing w:w="0" w:type="dxa"/>
        </w:trPr>
        <w:tc>
          <w:tcPr>
            <w:tcW w:w="4141" w:type="pct"/>
            <w:tcBorders>
              <w:top w:val="nil"/>
              <w:left w:val="single" w:sz="8" w:space="0" w:color="000000"/>
              <w:bottom w:val="single" w:sz="8" w:space="0" w:color="000000"/>
              <w:right w:val="single" w:sz="8" w:space="0" w:color="000000"/>
            </w:tcBorders>
            <w:vAlign w:val="center"/>
            <w:hideMark/>
          </w:tcPr>
          <w:p w14:paraId="297223C9" w14:textId="77777777" w:rsidR="00A86138" w:rsidRPr="00BD290F" w:rsidRDefault="00A86138" w:rsidP="00A90BA6">
            <w:pPr>
              <w:spacing w:before="60" w:after="60" w:line="240" w:lineRule="auto"/>
              <w:rPr>
                <w:rFonts w:eastAsia="Times New Roman"/>
                <w:szCs w:val="28"/>
              </w:rPr>
            </w:pPr>
            <w:r w:rsidRPr="00BD290F">
              <w:rPr>
                <w:rFonts w:eastAsia="Times New Roman"/>
                <w:szCs w:val="28"/>
              </w:rPr>
              <w:t>Dưới 45%</w:t>
            </w:r>
          </w:p>
        </w:tc>
        <w:tc>
          <w:tcPr>
            <w:tcW w:w="859" w:type="pct"/>
            <w:tcBorders>
              <w:top w:val="nil"/>
              <w:left w:val="nil"/>
              <w:bottom w:val="single" w:sz="8" w:space="0" w:color="000000"/>
              <w:right w:val="single" w:sz="8" w:space="0" w:color="000000"/>
            </w:tcBorders>
            <w:vAlign w:val="center"/>
            <w:hideMark/>
          </w:tcPr>
          <w:p w14:paraId="1AD398EF" w14:textId="77777777" w:rsidR="00A86138" w:rsidRPr="00BD290F" w:rsidRDefault="00A86138" w:rsidP="00A90BA6">
            <w:pPr>
              <w:spacing w:before="60" w:after="60" w:line="240" w:lineRule="auto"/>
              <w:jc w:val="center"/>
              <w:rPr>
                <w:rFonts w:eastAsia="Times New Roman"/>
                <w:szCs w:val="28"/>
              </w:rPr>
            </w:pPr>
            <w:r w:rsidRPr="00BD290F">
              <w:rPr>
                <w:rFonts w:eastAsia="Times New Roman"/>
                <w:szCs w:val="28"/>
              </w:rPr>
              <w:t>0,3</w:t>
            </w:r>
          </w:p>
        </w:tc>
      </w:tr>
      <w:tr w:rsidR="00BD290F" w:rsidRPr="00BD290F" w14:paraId="5026F665" w14:textId="77777777" w:rsidTr="00AC39D1">
        <w:trPr>
          <w:tblCellSpacing w:w="0" w:type="dxa"/>
        </w:trPr>
        <w:tc>
          <w:tcPr>
            <w:tcW w:w="4141" w:type="pct"/>
            <w:tcBorders>
              <w:top w:val="nil"/>
              <w:left w:val="single" w:sz="8" w:space="0" w:color="000000"/>
              <w:bottom w:val="single" w:sz="8" w:space="0" w:color="000000"/>
              <w:right w:val="single" w:sz="8" w:space="0" w:color="000000"/>
            </w:tcBorders>
            <w:vAlign w:val="center"/>
            <w:hideMark/>
          </w:tcPr>
          <w:p w14:paraId="5FD87A10" w14:textId="77777777" w:rsidR="00A86138" w:rsidRPr="00BD290F" w:rsidRDefault="00A86138" w:rsidP="00A90BA6">
            <w:pPr>
              <w:spacing w:before="60" w:after="60" w:line="240" w:lineRule="auto"/>
              <w:rPr>
                <w:rFonts w:eastAsia="Times New Roman"/>
                <w:szCs w:val="28"/>
              </w:rPr>
            </w:pPr>
            <w:r w:rsidRPr="00BD290F">
              <w:rPr>
                <w:rFonts w:eastAsia="Times New Roman"/>
                <w:szCs w:val="28"/>
              </w:rPr>
              <w:t>Từ 45% đến dưới 65%</w:t>
            </w:r>
          </w:p>
        </w:tc>
        <w:tc>
          <w:tcPr>
            <w:tcW w:w="859" w:type="pct"/>
            <w:tcBorders>
              <w:top w:val="nil"/>
              <w:left w:val="nil"/>
              <w:bottom w:val="single" w:sz="8" w:space="0" w:color="000000"/>
              <w:right w:val="single" w:sz="8" w:space="0" w:color="000000"/>
            </w:tcBorders>
            <w:vAlign w:val="center"/>
            <w:hideMark/>
          </w:tcPr>
          <w:p w14:paraId="0ECFACDB" w14:textId="77777777" w:rsidR="00A86138" w:rsidRPr="00BD290F" w:rsidRDefault="00A86138" w:rsidP="00A90BA6">
            <w:pPr>
              <w:spacing w:before="60" w:after="60" w:line="240" w:lineRule="auto"/>
              <w:jc w:val="center"/>
              <w:rPr>
                <w:rFonts w:eastAsia="Times New Roman"/>
                <w:szCs w:val="28"/>
              </w:rPr>
            </w:pPr>
            <w:r w:rsidRPr="00BD290F">
              <w:rPr>
                <w:rFonts w:eastAsia="Times New Roman"/>
                <w:szCs w:val="28"/>
              </w:rPr>
              <w:t>0,4</w:t>
            </w:r>
          </w:p>
        </w:tc>
      </w:tr>
      <w:tr w:rsidR="00BD290F" w:rsidRPr="00BD290F" w14:paraId="51D5CBFC" w14:textId="77777777" w:rsidTr="00AC39D1">
        <w:trPr>
          <w:tblCellSpacing w:w="0" w:type="dxa"/>
        </w:trPr>
        <w:tc>
          <w:tcPr>
            <w:tcW w:w="4141" w:type="pct"/>
            <w:tcBorders>
              <w:top w:val="nil"/>
              <w:left w:val="single" w:sz="8" w:space="0" w:color="000000"/>
              <w:bottom w:val="single" w:sz="8" w:space="0" w:color="000000"/>
              <w:right w:val="single" w:sz="8" w:space="0" w:color="000000"/>
            </w:tcBorders>
            <w:vAlign w:val="center"/>
            <w:hideMark/>
          </w:tcPr>
          <w:p w14:paraId="01C75A4F" w14:textId="77777777" w:rsidR="00A86138" w:rsidRPr="00BD290F" w:rsidRDefault="00A86138" w:rsidP="00A90BA6">
            <w:pPr>
              <w:spacing w:before="60" w:after="60" w:line="240" w:lineRule="auto"/>
              <w:rPr>
                <w:rFonts w:eastAsia="Times New Roman"/>
                <w:szCs w:val="28"/>
              </w:rPr>
            </w:pPr>
            <w:r w:rsidRPr="00BD290F">
              <w:rPr>
                <w:rFonts w:eastAsia="Times New Roman"/>
                <w:szCs w:val="28"/>
              </w:rPr>
              <w:t>Từ 65% trở lên</w:t>
            </w:r>
          </w:p>
        </w:tc>
        <w:tc>
          <w:tcPr>
            <w:tcW w:w="859" w:type="pct"/>
            <w:tcBorders>
              <w:top w:val="nil"/>
              <w:left w:val="nil"/>
              <w:bottom w:val="single" w:sz="8" w:space="0" w:color="000000"/>
              <w:right w:val="single" w:sz="8" w:space="0" w:color="000000"/>
            </w:tcBorders>
            <w:vAlign w:val="center"/>
            <w:hideMark/>
          </w:tcPr>
          <w:p w14:paraId="57E04577" w14:textId="77777777" w:rsidR="00A86138" w:rsidRPr="00BD290F" w:rsidRDefault="00A86138" w:rsidP="00A90BA6">
            <w:pPr>
              <w:spacing w:before="60" w:after="60" w:line="240" w:lineRule="auto"/>
              <w:jc w:val="center"/>
              <w:rPr>
                <w:rFonts w:eastAsia="Times New Roman"/>
                <w:szCs w:val="28"/>
              </w:rPr>
            </w:pPr>
            <w:r w:rsidRPr="00BD290F">
              <w:rPr>
                <w:rFonts w:eastAsia="Times New Roman"/>
                <w:szCs w:val="28"/>
              </w:rPr>
              <w:t>0,5</w:t>
            </w:r>
          </w:p>
        </w:tc>
      </w:tr>
    </w:tbl>
    <w:p w14:paraId="11FF66A7"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 xml:space="preserve">c) Định mức phân bổ </w:t>
      </w:r>
    </w:p>
    <w:p w14:paraId="0E11E1EC"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lastRenderedPageBreak/>
        <w:t>- Đối với vốn đầu tư phát triển: Tổng vốn hỗ trợ đầu tư phát triển phân bổ cho từng xã được tính theo công thức:</w:t>
      </w:r>
    </w:p>
    <w:p w14:paraId="5F14D8A0" w14:textId="77777777" w:rsidR="00A86138" w:rsidRPr="00BD290F" w:rsidRDefault="00A86138" w:rsidP="00737B75">
      <w:pPr>
        <w:shd w:val="clear" w:color="auto" w:fill="FFFFFF"/>
        <w:spacing w:before="120" w:after="120" w:line="360" w:lineRule="exact"/>
        <w:ind w:firstLine="709"/>
        <w:jc w:val="center"/>
        <w:rPr>
          <w:rFonts w:eastAsia="Times New Roman"/>
          <w:szCs w:val="28"/>
        </w:rPr>
      </w:pPr>
      <w:r w:rsidRPr="00BD290F">
        <w:rPr>
          <w:rFonts w:eastAsia="Times New Roman"/>
          <w:szCs w:val="28"/>
        </w:rPr>
        <w:t>A</w:t>
      </w:r>
      <w:r w:rsidRPr="00BD290F">
        <w:rPr>
          <w:rFonts w:eastAsia="Times New Roman"/>
          <w:szCs w:val="28"/>
          <w:vertAlign w:val="subscript"/>
        </w:rPr>
        <w:t>i</w:t>
      </w:r>
      <w:r w:rsidRPr="00BD290F">
        <w:rPr>
          <w:rFonts w:eastAsia="Times New Roman"/>
          <w:szCs w:val="28"/>
        </w:rPr>
        <w:t>= Q. X</w:t>
      </w:r>
      <w:r w:rsidRPr="00BD290F">
        <w:rPr>
          <w:rFonts w:eastAsia="Times New Roman"/>
          <w:szCs w:val="28"/>
          <w:vertAlign w:val="subscript"/>
        </w:rPr>
        <w:t>i</w:t>
      </w:r>
    </w:p>
    <w:p w14:paraId="3DC74D50"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Trong đó:</w:t>
      </w:r>
    </w:p>
    <w:p w14:paraId="21EDD214"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Ai là vốn ngân sách trung ương phân bổ cho xã thứ i.</w:t>
      </w:r>
    </w:p>
    <w:p w14:paraId="3BA0FED7"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Xi là tổng số hệ số tiêu chí Quy mô dân số của</w:t>
      </w:r>
      <w:r w:rsidRPr="00BD290F">
        <w:rPr>
          <w:rFonts w:eastAsia="Times New Roman"/>
          <w:szCs w:val="28"/>
          <w:lang w:val="vi-VN"/>
        </w:rPr>
        <w:t xml:space="preserve"> xã</w:t>
      </w:r>
      <w:r w:rsidRPr="00BD290F">
        <w:rPr>
          <w:rFonts w:eastAsia="Times New Roman"/>
          <w:szCs w:val="28"/>
        </w:rPr>
        <w:t>, Tổng tỷ lệ hộ nghèo và hộ cận nghèo của xã</w:t>
      </w:r>
      <w:r w:rsidRPr="00BD290F">
        <w:rPr>
          <w:rFonts w:eastAsia="Times New Roman"/>
          <w:szCs w:val="28"/>
          <w:lang w:val="vi-VN"/>
        </w:rPr>
        <w:t xml:space="preserve"> thứ i</w:t>
      </w:r>
      <w:r w:rsidRPr="00BD290F">
        <w:rPr>
          <w:rFonts w:eastAsia="Times New Roman"/>
          <w:szCs w:val="28"/>
        </w:rPr>
        <w:t>.</w:t>
      </w:r>
    </w:p>
    <w:p w14:paraId="2A5D5313"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Q là vốn bình quân cho một xã được tính theo công thức:</w:t>
      </w:r>
    </w:p>
    <w:p w14:paraId="5948D8FE" w14:textId="77777777" w:rsidR="00A86138" w:rsidRPr="00BD290F" w:rsidRDefault="00A86138" w:rsidP="00A90BA6">
      <w:pPr>
        <w:shd w:val="clear" w:color="auto" w:fill="FFFFFF"/>
        <w:spacing w:before="240" w:after="240" w:line="360" w:lineRule="exact"/>
        <w:rPr>
          <w:rFonts w:eastAsia="Times New Roman"/>
          <w:szCs w:val="28"/>
        </w:rPr>
      </w:pPr>
      <m:oMathPara>
        <m:oMath>
          <m:r>
            <w:rPr>
              <w:rFonts w:ascii="Cambria Math" w:eastAsia="Times New Roman" w:hAnsi="Cambria Math"/>
              <w:szCs w:val="28"/>
            </w:rPr>
            <m:t xml:space="preserve"> Q= </m:t>
          </m:r>
          <m:f>
            <m:fPr>
              <m:ctrlPr>
                <w:rPr>
                  <w:rFonts w:ascii="Cambria Math" w:eastAsia="Times New Roman" w:hAnsi="Cambria Math"/>
                  <w:i/>
                  <w:szCs w:val="28"/>
                </w:rPr>
              </m:ctrlPr>
            </m:fPr>
            <m:num>
              <m:r>
                <w:rPr>
                  <w:rFonts w:ascii="Cambria Math" w:eastAsia="Times New Roman" w:hAnsi="Cambria Math"/>
                  <w:szCs w:val="28"/>
                </w:rPr>
                <m:t>G</m:t>
              </m:r>
            </m:num>
            <m:den>
              <m:nary>
                <m:naryPr>
                  <m:chr m:val="∑"/>
                  <m:limLoc m:val="undOvr"/>
                  <m:ctrlPr>
                    <w:rPr>
                      <w:rFonts w:ascii="Cambria Math" w:eastAsia="Times New Roman" w:hAnsi="Cambria Math"/>
                      <w:i/>
                      <w:szCs w:val="28"/>
                    </w:rPr>
                  </m:ctrlPr>
                </m:naryPr>
                <m:sub>
                  <m:r>
                    <m:rPr>
                      <m:sty m:val="p"/>
                    </m:rPr>
                    <w:rPr>
                      <w:rFonts w:ascii="Cambria Math" w:eastAsia="Times New Roman" w:hAnsi="Cambria Math"/>
                      <w:szCs w:val="28"/>
                      <w:vertAlign w:val="subscript"/>
                    </w:rPr>
                    <m:t>i</m:t>
                  </m:r>
                </m:sub>
                <m:sup>
                  <m:r>
                    <w:rPr>
                      <w:rFonts w:ascii="Cambria Math" w:eastAsia="Times New Roman" w:hAnsi="Cambria Math"/>
                      <w:szCs w:val="28"/>
                    </w:rPr>
                    <m:t>n</m:t>
                  </m:r>
                </m:sup>
                <m:e>
                  <m:r>
                    <m:rPr>
                      <m:sty m:val="p"/>
                    </m:rPr>
                    <w:rPr>
                      <w:rFonts w:ascii="Cambria Math" w:eastAsia="Times New Roman" w:hAnsi="Cambria Math"/>
                      <w:szCs w:val="28"/>
                    </w:rPr>
                    <m:t>X</m:t>
                  </m:r>
                  <m:r>
                    <m:rPr>
                      <m:sty m:val="p"/>
                    </m:rPr>
                    <w:rPr>
                      <w:rFonts w:ascii="Cambria Math" w:eastAsia="Times New Roman" w:hAnsi="Cambria Math"/>
                      <w:szCs w:val="28"/>
                      <w:vertAlign w:val="subscript"/>
                    </w:rPr>
                    <m:t>i</m:t>
                  </m:r>
                </m:e>
              </m:nary>
            </m:den>
          </m:f>
        </m:oMath>
      </m:oMathPara>
    </w:p>
    <w:p w14:paraId="5AB960FD"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G là tổng vốn đầu tư phát triển ngân sách nhà nước phân bổ cho các xã trên địa bàn tỉnh để thực hiện Tiểu</w:t>
      </w:r>
      <w:r w:rsidRPr="00BD290F">
        <w:rPr>
          <w:rFonts w:eastAsia="Times New Roman"/>
          <w:szCs w:val="28"/>
          <w:lang w:val="vi-VN"/>
        </w:rPr>
        <w:t xml:space="preserve"> </w:t>
      </w:r>
      <w:r w:rsidRPr="00BD290F">
        <w:rPr>
          <w:rFonts w:eastAsia="Times New Roman"/>
          <w:szCs w:val="28"/>
        </w:rPr>
        <w:t>Dự án 1.</w:t>
      </w:r>
    </w:p>
    <w:p w14:paraId="14CAA626" w14:textId="77777777" w:rsidR="00A86138" w:rsidRPr="00BD290F" w:rsidRDefault="00A86138" w:rsidP="00737B75">
      <w:pPr>
        <w:shd w:val="clear" w:color="auto" w:fill="FFFFFF"/>
        <w:spacing w:before="120" w:after="120" w:line="360" w:lineRule="exact"/>
        <w:ind w:firstLine="709"/>
        <w:jc w:val="both"/>
        <w:rPr>
          <w:rFonts w:eastAsia="Times New Roman"/>
          <w:szCs w:val="28"/>
          <w:lang w:val="vi-VN"/>
        </w:rPr>
      </w:pPr>
      <w:r w:rsidRPr="00BD290F">
        <w:rPr>
          <w:rFonts w:eastAsia="Times New Roman"/>
          <w:szCs w:val="28"/>
        </w:rPr>
        <w:t xml:space="preserve">- Đối với kinh phí sự nghiệp duy tu bảo dưỡng: Bằng 10% vốn đầu tư phát triển của ngân sách trung ương </w:t>
      </w:r>
      <w:r w:rsidRPr="00BD290F">
        <w:rPr>
          <w:rFonts w:eastAsia="Times New Roman"/>
          <w:szCs w:val="28"/>
          <w:lang w:val="vi-VN"/>
        </w:rPr>
        <w:t xml:space="preserve"> cấp cho tỉnh hàng năm. Tiêu chí và định mức phân bổ vốn áp dụng như vốn đầu tư phát triển.</w:t>
      </w:r>
    </w:p>
    <w:p w14:paraId="3D54CA49" w14:textId="77777777" w:rsidR="00A86138" w:rsidRPr="00BD290F" w:rsidRDefault="00A86138" w:rsidP="00737B75">
      <w:pPr>
        <w:shd w:val="clear" w:color="auto" w:fill="FFFFFF"/>
        <w:spacing w:before="120" w:after="120" w:line="360" w:lineRule="exact"/>
        <w:ind w:firstLine="709"/>
        <w:rPr>
          <w:rFonts w:eastAsia="Times New Roman"/>
          <w:b/>
          <w:bCs/>
          <w:szCs w:val="28"/>
        </w:rPr>
      </w:pPr>
      <w:r w:rsidRPr="00BD290F">
        <w:rPr>
          <w:rFonts w:eastAsia="Times New Roman"/>
          <w:b/>
          <w:bCs/>
          <w:szCs w:val="28"/>
        </w:rPr>
        <w:t>2. Dự án 2: Đa dạng hóa sinh kế, phát triển mô hình giảm nghèo</w:t>
      </w:r>
    </w:p>
    <w:p w14:paraId="78E11B1F" w14:textId="77777777" w:rsidR="00A86138" w:rsidRPr="00BD290F" w:rsidRDefault="00A86138" w:rsidP="00737B75">
      <w:pPr>
        <w:shd w:val="clear" w:color="auto" w:fill="FFFFFF"/>
        <w:spacing w:before="120" w:after="120" w:line="360" w:lineRule="exact"/>
        <w:ind w:firstLine="709"/>
        <w:jc w:val="both"/>
        <w:rPr>
          <w:rFonts w:eastAsia="Times New Roman"/>
          <w:spacing w:val="-8"/>
          <w:szCs w:val="28"/>
        </w:rPr>
      </w:pPr>
      <w:r w:rsidRPr="00BD290F">
        <w:rPr>
          <w:rFonts w:eastAsia="Times New Roman"/>
          <w:spacing w:val="-8"/>
          <w:szCs w:val="28"/>
        </w:rPr>
        <w:t>a) Phân bổ 100% vốn ngân sách trung ương của Dự án cho</w:t>
      </w:r>
      <w:r w:rsidRPr="00BD290F">
        <w:rPr>
          <w:rFonts w:eastAsia="Times New Roman"/>
          <w:spacing w:val="-8"/>
          <w:szCs w:val="28"/>
          <w:lang w:val="vi-VN"/>
        </w:rPr>
        <w:t xml:space="preserve"> các</w:t>
      </w:r>
      <w:r w:rsidRPr="00BD290F">
        <w:rPr>
          <w:rFonts w:eastAsia="Times New Roman"/>
          <w:spacing w:val="-8"/>
          <w:szCs w:val="28"/>
        </w:rPr>
        <w:t xml:space="preserve"> xã</w:t>
      </w:r>
      <w:r w:rsidRPr="00BD290F">
        <w:rPr>
          <w:rFonts w:eastAsia="Times New Roman"/>
          <w:spacing w:val="-8"/>
          <w:szCs w:val="28"/>
          <w:lang w:val="vi-VN"/>
        </w:rPr>
        <w:t>, phường</w:t>
      </w:r>
      <w:r w:rsidRPr="00BD290F">
        <w:rPr>
          <w:rFonts w:eastAsia="Times New Roman"/>
          <w:spacing w:val="-8"/>
          <w:szCs w:val="28"/>
        </w:rPr>
        <w:t>.</w:t>
      </w:r>
    </w:p>
    <w:p w14:paraId="6EDA74D6"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b) Tiêu chí phân bổ vốn: 02 tiêu chí, gồm:</w:t>
      </w:r>
    </w:p>
    <w:tbl>
      <w:tblPr>
        <w:tblStyle w:val="TableGrid"/>
        <w:tblW w:w="5000" w:type="pct"/>
        <w:tblLook w:val="04A0" w:firstRow="1" w:lastRow="0" w:firstColumn="1" w:lastColumn="0" w:noHBand="0" w:noVBand="1"/>
      </w:tblPr>
      <w:tblGrid>
        <w:gridCol w:w="7505"/>
        <w:gridCol w:w="1557"/>
      </w:tblGrid>
      <w:tr w:rsidR="00BD290F" w:rsidRPr="00BD290F" w14:paraId="4E03EACF" w14:textId="77777777" w:rsidTr="00212CF9">
        <w:tc>
          <w:tcPr>
            <w:tcW w:w="4141" w:type="pct"/>
            <w:vAlign w:val="center"/>
            <w:hideMark/>
          </w:tcPr>
          <w:p w14:paraId="4DC12A41" w14:textId="77777777" w:rsidR="00A86138" w:rsidRPr="00BD290F" w:rsidRDefault="00A86138" w:rsidP="00A90BA6">
            <w:pPr>
              <w:spacing w:before="60" w:after="60"/>
              <w:rPr>
                <w:rFonts w:eastAsia="Times New Roman"/>
                <w:szCs w:val="28"/>
                <w:lang w:val="vi-VN"/>
              </w:rPr>
            </w:pPr>
            <w:r w:rsidRPr="00BD290F">
              <w:rPr>
                <w:rFonts w:eastAsia="Times New Roman"/>
                <w:b/>
                <w:bCs/>
                <w:szCs w:val="28"/>
              </w:rPr>
              <w:t>Tổng tỷ lệ hộ nghèo và hộ cận nghèo của xã</w:t>
            </w:r>
            <w:r w:rsidRPr="00BD290F">
              <w:rPr>
                <w:rFonts w:eastAsia="Times New Roman"/>
                <w:b/>
                <w:bCs/>
                <w:szCs w:val="28"/>
                <w:lang w:val="vi-VN"/>
              </w:rPr>
              <w:t>, phường</w:t>
            </w:r>
          </w:p>
        </w:tc>
        <w:tc>
          <w:tcPr>
            <w:tcW w:w="859" w:type="pct"/>
            <w:vAlign w:val="center"/>
            <w:hideMark/>
          </w:tcPr>
          <w:p w14:paraId="067EEAD7" w14:textId="77777777" w:rsidR="00A86138" w:rsidRPr="00BD290F" w:rsidRDefault="00A86138" w:rsidP="00A90BA6">
            <w:pPr>
              <w:spacing w:before="60" w:after="60"/>
              <w:jc w:val="center"/>
              <w:rPr>
                <w:rFonts w:eastAsia="Times New Roman"/>
                <w:szCs w:val="28"/>
              </w:rPr>
            </w:pPr>
            <w:r w:rsidRPr="00BD290F">
              <w:rPr>
                <w:rFonts w:eastAsia="Times New Roman"/>
                <w:b/>
                <w:bCs/>
                <w:szCs w:val="28"/>
              </w:rPr>
              <w:t>Hệ số</w:t>
            </w:r>
          </w:p>
        </w:tc>
      </w:tr>
      <w:tr w:rsidR="00BD290F" w:rsidRPr="00BD290F" w14:paraId="41A4B002" w14:textId="77777777" w:rsidTr="00212CF9">
        <w:tc>
          <w:tcPr>
            <w:tcW w:w="4141" w:type="pct"/>
            <w:vAlign w:val="center"/>
            <w:hideMark/>
          </w:tcPr>
          <w:p w14:paraId="0753E397" w14:textId="77777777" w:rsidR="00A86138" w:rsidRPr="00BD290F" w:rsidRDefault="00A86138" w:rsidP="00A90BA6">
            <w:pPr>
              <w:spacing w:before="60" w:after="60"/>
              <w:rPr>
                <w:rFonts w:eastAsia="Times New Roman"/>
                <w:szCs w:val="28"/>
              </w:rPr>
            </w:pPr>
            <w:r w:rsidRPr="00BD290F">
              <w:rPr>
                <w:rFonts w:eastAsia="Times New Roman"/>
                <w:szCs w:val="28"/>
              </w:rPr>
              <w:t>Dưới 15%</w:t>
            </w:r>
          </w:p>
        </w:tc>
        <w:tc>
          <w:tcPr>
            <w:tcW w:w="859" w:type="pct"/>
            <w:vAlign w:val="center"/>
            <w:hideMark/>
          </w:tcPr>
          <w:p w14:paraId="384EC9E9" w14:textId="77777777" w:rsidR="00A86138" w:rsidRPr="00BD290F" w:rsidRDefault="00A86138" w:rsidP="00A90BA6">
            <w:pPr>
              <w:spacing w:before="60" w:after="60"/>
              <w:jc w:val="center"/>
              <w:rPr>
                <w:rFonts w:eastAsia="Times New Roman"/>
                <w:szCs w:val="28"/>
              </w:rPr>
            </w:pPr>
            <w:r w:rsidRPr="00BD290F">
              <w:rPr>
                <w:rFonts w:eastAsia="Times New Roman"/>
                <w:szCs w:val="28"/>
              </w:rPr>
              <w:t>0,01</w:t>
            </w:r>
          </w:p>
        </w:tc>
      </w:tr>
      <w:tr w:rsidR="00BD290F" w:rsidRPr="00BD290F" w14:paraId="5BA78614" w14:textId="77777777" w:rsidTr="00212CF9">
        <w:tc>
          <w:tcPr>
            <w:tcW w:w="4141" w:type="pct"/>
            <w:vAlign w:val="center"/>
            <w:hideMark/>
          </w:tcPr>
          <w:p w14:paraId="660117B0" w14:textId="77777777" w:rsidR="00A86138" w:rsidRPr="00BD290F" w:rsidRDefault="00A86138" w:rsidP="00A90BA6">
            <w:pPr>
              <w:spacing w:before="60" w:after="60"/>
              <w:rPr>
                <w:rFonts w:eastAsia="Times New Roman"/>
                <w:szCs w:val="28"/>
              </w:rPr>
            </w:pPr>
            <w:r w:rsidRPr="00BD290F">
              <w:rPr>
                <w:rFonts w:eastAsia="Times New Roman"/>
                <w:szCs w:val="28"/>
              </w:rPr>
              <w:t>Từ 15% đến dưới 25%</w:t>
            </w:r>
          </w:p>
        </w:tc>
        <w:tc>
          <w:tcPr>
            <w:tcW w:w="859" w:type="pct"/>
            <w:vAlign w:val="center"/>
            <w:hideMark/>
          </w:tcPr>
          <w:p w14:paraId="52F6A868" w14:textId="77777777" w:rsidR="00A86138" w:rsidRPr="00BD290F" w:rsidRDefault="00A86138" w:rsidP="00A90BA6">
            <w:pPr>
              <w:spacing w:before="60" w:after="60"/>
              <w:jc w:val="center"/>
              <w:rPr>
                <w:rFonts w:eastAsia="Times New Roman"/>
                <w:szCs w:val="28"/>
              </w:rPr>
            </w:pPr>
            <w:r w:rsidRPr="00BD290F">
              <w:rPr>
                <w:rFonts w:eastAsia="Times New Roman"/>
                <w:szCs w:val="28"/>
              </w:rPr>
              <w:t>0,02</w:t>
            </w:r>
          </w:p>
        </w:tc>
      </w:tr>
      <w:tr w:rsidR="00BD290F" w:rsidRPr="00BD290F" w14:paraId="7E7C40D6" w14:textId="77777777" w:rsidTr="00212CF9">
        <w:tc>
          <w:tcPr>
            <w:tcW w:w="4141" w:type="pct"/>
            <w:vAlign w:val="center"/>
            <w:hideMark/>
          </w:tcPr>
          <w:p w14:paraId="44CFA779" w14:textId="77777777" w:rsidR="00A86138" w:rsidRPr="00BD290F" w:rsidRDefault="00A86138" w:rsidP="00A90BA6">
            <w:pPr>
              <w:spacing w:before="60" w:after="60"/>
              <w:rPr>
                <w:rFonts w:eastAsia="Times New Roman"/>
                <w:szCs w:val="28"/>
              </w:rPr>
            </w:pPr>
            <w:r w:rsidRPr="00BD290F">
              <w:rPr>
                <w:rFonts w:eastAsia="Times New Roman"/>
                <w:szCs w:val="28"/>
              </w:rPr>
              <w:t>Từ 25% đến dưới 35%</w:t>
            </w:r>
          </w:p>
        </w:tc>
        <w:tc>
          <w:tcPr>
            <w:tcW w:w="859" w:type="pct"/>
            <w:vAlign w:val="center"/>
            <w:hideMark/>
          </w:tcPr>
          <w:p w14:paraId="6D58B09C" w14:textId="77777777" w:rsidR="00A86138" w:rsidRPr="00BD290F" w:rsidRDefault="00A86138" w:rsidP="00A90BA6">
            <w:pPr>
              <w:spacing w:before="60" w:after="60"/>
              <w:jc w:val="center"/>
              <w:rPr>
                <w:rFonts w:eastAsia="Times New Roman"/>
                <w:szCs w:val="28"/>
              </w:rPr>
            </w:pPr>
            <w:r w:rsidRPr="00BD290F">
              <w:rPr>
                <w:rFonts w:eastAsia="Times New Roman"/>
                <w:szCs w:val="28"/>
              </w:rPr>
              <w:t>0,03</w:t>
            </w:r>
          </w:p>
        </w:tc>
      </w:tr>
      <w:tr w:rsidR="00BD290F" w:rsidRPr="00BD290F" w14:paraId="42E80E6B" w14:textId="77777777" w:rsidTr="00212CF9">
        <w:tc>
          <w:tcPr>
            <w:tcW w:w="4141" w:type="pct"/>
            <w:vAlign w:val="center"/>
            <w:hideMark/>
          </w:tcPr>
          <w:p w14:paraId="7FD04ECB" w14:textId="77777777" w:rsidR="00A86138" w:rsidRPr="00BD290F" w:rsidRDefault="00A86138" w:rsidP="00A90BA6">
            <w:pPr>
              <w:spacing w:before="60" w:after="60"/>
              <w:rPr>
                <w:rFonts w:eastAsia="Times New Roman"/>
                <w:szCs w:val="28"/>
              </w:rPr>
            </w:pPr>
            <w:r w:rsidRPr="00BD290F">
              <w:rPr>
                <w:rFonts w:eastAsia="Times New Roman"/>
                <w:szCs w:val="28"/>
              </w:rPr>
              <w:t>Từ 35% đến dưới 45%</w:t>
            </w:r>
          </w:p>
        </w:tc>
        <w:tc>
          <w:tcPr>
            <w:tcW w:w="859" w:type="pct"/>
            <w:vAlign w:val="center"/>
            <w:hideMark/>
          </w:tcPr>
          <w:p w14:paraId="756BC817" w14:textId="77777777" w:rsidR="00A86138" w:rsidRPr="00BD290F" w:rsidRDefault="00A86138" w:rsidP="00A90BA6">
            <w:pPr>
              <w:spacing w:before="60" w:after="60"/>
              <w:jc w:val="center"/>
              <w:rPr>
                <w:rFonts w:eastAsia="Times New Roman"/>
                <w:szCs w:val="28"/>
              </w:rPr>
            </w:pPr>
            <w:r w:rsidRPr="00BD290F">
              <w:rPr>
                <w:rFonts w:eastAsia="Times New Roman"/>
                <w:szCs w:val="28"/>
              </w:rPr>
              <w:t>0,04</w:t>
            </w:r>
          </w:p>
        </w:tc>
      </w:tr>
      <w:tr w:rsidR="00BD290F" w:rsidRPr="00BD290F" w14:paraId="694E216F" w14:textId="77777777" w:rsidTr="00212CF9">
        <w:tc>
          <w:tcPr>
            <w:tcW w:w="4141" w:type="pct"/>
            <w:vAlign w:val="center"/>
            <w:hideMark/>
          </w:tcPr>
          <w:p w14:paraId="5B7E06A5" w14:textId="77777777" w:rsidR="00A86138" w:rsidRPr="00BD290F" w:rsidRDefault="00A86138" w:rsidP="00A90BA6">
            <w:pPr>
              <w:spacing w:before="60" w:after="60"/>
              <w:rPr>
                <w:rFonts w:eastAsia="Times New Roman"/>
                <w:szCs w:val="28"/>
              </w:rPr>
            </w:pPr>
            <w:r w:rsidRPr="00BD290F">
              <w:rPr>
                <w:rFonts w:eastAsia="Times New Roman"/>
                <w:szCs w:val="28"/>
              </w:rPr>
              <w:t>Từ 45% đến dưới 55%</w:t>
            </w:r>
          </w:p>
        </w:tc>
        <w:tc>
          <w:tcPr>
            <w:tcW w:w="859" w:type="pct"/>
            <w:vAlign w:val="center"/>
            <w:hideMark/>
          </w:tcPr>
          <w:p w14:paraId="0CD1D7BD" w14:textId="77777777" w:rsidR="00A86138" w:rsidRPr="00BD290F" w:rsidRDefault="00A86138" w:rsidP="00A90BA6">
            <w:pPr>
              <w:spacing w:before="60" w:after="60"/>
              <w:jc w:val="center"/>
              <w:rPr>
                <w:rFonts w:eastAsia="Times New Roman"/>
                <w:szCs w:val="28"/>
              </w:rPr>
            </w:pPr>
            <w:r w:rsidRPr="00BD290F">
              <w:rPr>
                <w:rFonts w:eastAsia="Times New Roman"/>
                <w:szCs w:val="28"/>
              </w:rPr>
              <w:t>0,05</w:t>
            </w:r>
          </w:p>
        </w:tc>
      </w:tr>
      <w:tr w:rsidR="00BD290F" w:rsidRPr="00BD290F" w14:paraId="6FA17A2B" w14:textId="77777777" w:rsidTr="00212CF9">
        <w:tc>
          <w:tcPr>
            <w:tcW w:w="4141" w:type="pct"/>
            <w:vAlign w:val="center"/>
            <w:hideMark/>
          </w:tcPr>
          <w:p w14:paraId="75658CDE" w14:textId="77777777" w:rsidR="00A86138" w:rsidRPr="00BD290F" w:rsidRDefault="00A86138" w:rsidP="00A90BA6">
            <w:pPr>
              <w:spacing w:before="60" w:after="60"/>
              <w:rPr>
                <w:rFonts w:eastAsia="Times New Roman"/>
                <w:szCs w:val="28"/>
              </w:rPr>
            </w:pPr>
            <w:r w:rsidRPr="00BD290F">
              <w:rPr>
                <w:rFonts w:eastAsia="Times New Roman"/>
                <w:szCs w:val="28"/>
              </w:rPr>
              <w:t>Từ 55% đến dưới 65%</w:t>
            </w:r>
          </w:p>
        </w:tc>
        <w:tc>
          <w:tcPr>
            <w:tcW w:w="859" w:type="pct"/>
            <w:vAlign w:val="center"/>
            <w:hideMark/>
          </w:tcPr>
          <w:p w14:paraId="53DA0FEB" w14:textId="77777777" w:rsidR="00A86138" w:rsidRPr="00BD290F" w:rsidRDefault="00A86138" w:rsidP="00A90BA6">
            <w:pPr>
              <w:spacing w:before="60" w:after="60"/>
              <w:jc w:val="center"/>
              <w:rPr>
                <w:rFonts w:eastAsia="Times New Roman"/>
                <w:szCs w:val="28"/>
              </w:rPr>
            </w:pPr>
            <w:r w:rsidRPr="00BD290F">
              <w:rPr>
                <w:rFonts w:eastAsia="Times New Roman"/>
                <w:szCs w:val="28"/>
              </w:rPr>
              <w:t>0,06</w:t>
            </w:r>
          </w:p>
        </w:tc>
      </w:tr>
      <w:tr w:rsidR="00BD290F" w:rsidRPr="00BD290F" w14:paraId="7A2F057B" w14:textId="77777777" w:rsidTr="00212CF9">
        <w:tc>
          <w:tcPr>
            <w:tcW w:w="4141" w:type="pct"/>
            <w:vAlign w:val="center"/>
            <w:hideMark/>
          </w:tcPr>
          <w:p w14:paraId="20D8AE9F" w14:textId="77777777" w:rsidR="00A86138" w:rsidRPr="00BD290F" w:rsidRDefault="00A86138" w:rsidP="00A90BA6">
            <w:pPr>
              <w:spacing w:before="60" w:after="60"/>
              <w:rPr>
                <w:rFonts w:eastAsia="Times New Roman"/>
                <w:szCs w:val="28"/>
              </w:rPr>
            </w:pPr>
            <w:r w:rsidRPr="00BD290F">
              <w:rPr>
                <w:rFonts w:eastAsia="Times New Roman"/>
                <w:szCs w:val="28"/>
              </w:rPr>
              <w:t>Từ 65% đến dưới 75%</w:t>
            </w:r>
          </w:p>
        </w:tc>
        <w:tc>
          <w:tcPr>
            <w:tcW w:w="859" w:type="pct"/>
            <w:vAlign w:val="center"/>
            <w:hideMark/>
          </w:tcPr>
          <w:p w14:paraId="33AFCBED" w14:textId="77777777" w:rsidR="00A86138" w:rsidRPr="00BD290F" w:rsidRDefault="00A86138" w:rsidP="00A90BA6">
            <w:pPr>
              <w:spacing w:before="60" w:after="60"/>
              <w:jc w:val="center"/>
              <w:rPr>
                <w:rFonts w:eastAsia="Times New Roman"/>
                <w:szCs w:val="28"/>
              </w:rPr>
            </w:pPr>
            <w:r w:rsidRPr="00BD290F">
              <w:rPr>
                <w:rFonts w:eastAsia="Times New Roman"/>
                <w:szCs w:val="28"/>
              </w:rPr>
              <w:t>0,08</w:t>
            </w:r>
          </w:p>
        </w:tc>
      </w:tr>
      <w:tr w:rsidR="00BD290F" w:rsidRPr="00BD290F" w14:paraId="19391CC5" w14:textId="77777777" w:rsidTr="00212CF9">
        <w:tc>
          <w:tcPr>
            <w:tcW w:w="4141" w:type="pct"/>
            <w:vAlign w:val="center"/>
            <w:hideMark/>
          </w:tcPr>
          <w:p w14:paraId="78F23D56" w14:textId="77777777" w:rsidR="00A86138" w:rsidRPr="00BD290F" w:rsidRDefault="00A86138" w:rsidP="00A90BA6">
            <w:pPr>
              <w:spacing w:before="60" w:after="60"/>
              <w:rPr>
                <w:rFonts w:eastAsia="Times New Roman"/>
                <w:szCs w:val="28"/>
              </w:rPr>
            </w:pPr>
            <w:r w:rsidRPr="00BD290F">
              <w:rPr>
                <w:rFonts w:eastAsia="Times New Roman"/>
                <w:szCs w:val="28"/>
              </w:rPr>
              <w:t>Từ 75% trở lên</w:t>
            </w:r>
          </w:p>
        </w:tc>
        <w:tc>
          <w:tcPr>
            <w:tcW w:w="859" w:type="pct"/>
            <w:vAlign w:val="center"/>
            <w:hideMark/>
          </w:tcPr>
          <w:p w14:paraId="0027FD9D" w14:textId="77777777" w:rsidR="00A86138" w:rsidRPr="00BD290F" w:rsidRDefault="00A86138" w:rsidP="00A90BA6">
            <w:pPr>
              <w:spacing w:before="60" w:after="60"/>
              <w:jc w:val="center"/>
              <w:rPr>
                <w:rFonts w:eastAsia="Times New Roman"/>
                <w:szCs w:val="28"/>
              </w:rPr>
            </w:pPr>
            <w:r w:rsidRPr="00BD290F">
              <w:rPr>
                <w:rFonts w:eastAsia="Times New Roman"/>
                <w:szCs w:val="28"/>
              </w:rPr>
              <w:t>0,09</w:t>
            </w:r>
          </w:p>
        </w:tc>
      </w:tr>
      <w:tr w:rsidR="00BD290F" w:rsidRPr="00BD290F" w14:paraId="3A554222" w14:textId="77777777" w:rsidTr="00212CF9">
        <w:tc>
          <w:tcPr>
            <w:tcW w:w="4141" w:type="pct"/>
            <w:vAlign w:val="center"/>
            <w:hideMark/>
          </w:tcPr>
          <w:p w14:paraId="3F1175E7" w14:textId="77777777" w:rsidR="00A86138" w:rsidRPr="00BD290F" w:rsidRDefault="00A86138" w:rsidP="00A90BA6">
            <w:pPr>
              <w:spacing w:before="60" w:after="60"/>
              <w:rPr>
                <w:rFonts w:eastAsia="Times New Roman"/>
                <w:szCs w:val="28"/>
              </w:rPr>
            </w:pPr>
            <w:r w:rsidRPr="00BD290F">
              <w:rPr>
                <w:rFonts w:eastAsia="Times New Roman"/>
                <w:b/>
                <w:bCs/>
                <w:szCs w:val="28"/>
              </w:rPr>
              <w:t>Tổng số hộ nghèo và hộ cận nghèo của xã, phường</w:t>
            </w:r>
          </w:p>
        </w:tc>
        <w:tc>
          <w:tcPr>
            <w:tcW w:w="859" w:type="pct"/>
            <w:vAlign w:val="center"/>
            <w:hideMark/>
          </w:tcPr>
          <w:p w14:paraId="1BE4F9F1" w14:textId="77777777" w:rsidR="00A86138" w:rsidRPr="00BD290F" w:rsidRDefault="00A86138" w:rsidP="00A90BA6">
            <w:pPr>
              <w:spacing w:before="60" w:after="60"/>
              <w:jc w:val="center"/>
              <w:rPr>
                <w:rFonts w:eastAsia="Times New Roman"/>
                <w:szCs w:val="28"/>
              </w:rPr>
            </w:pPr>
            <w:r w:rsidRPr="00BD290F">
              <w:rPr>
                <w:rFonts w:eastAsia="Times New Roman"/>
                <w:b/>
                <w:bCs/>
                <w:szCs w:val="28"/>
              </w:rPr>
              <w:t>Hệ số</w:t>
            </w:r>
          </w:p>
        </w:tc>
      </w:tr>
      <w:tr w:rsidR="00BD290F" w:rsidRPr="00BD290F" w14:paraId="78D1C744" w14:textId="77777777" w:rsidTr="00212CF9">
        <w:tc>
          <w:tcPr>
            <w:tcW w:w="4141" w:type="pct"/>
            <w:vAlign w:val="center"/>
            <w:hideMark/>
          </w:tcPr>
          <w:p w14:paraId="73D6D2F0" w14:textId="77777777" w:rsidR="00A86138" w:rsidRPr="00BD290F" w:rsidRDefault="00A86138" w:rsidP="00A90BA6">
            <w:pPr>
              <w:spacing w:before="60" w:after="60"/>
              <w:rPr>
                <w:rFonts w:eastAsia="Times New Roman"/>
                <w:szCs w:val="28"/>
              </w:rPr>
            </w:pPr>
            <w:r w:rsidRPr="00BD290F">
              <w:rPr>
                <w:rFonts w:eastAsia="Times New Roman"/>
                <w:szCs w:val="28"/>
              </w:rPr>
              <w:t>Dưới 200 hộ</w:t>
            </w:r>
          </w:p>
        </w:tc>
        <w:tc>
          <w:tcPr>
            <w:tcW w:w="859" w:type="pct"/>
            <w:vAlign w:val="center"/>
            <w:hideMark/>
          </w:tcPr>
          <w:p w14:paraId="1367310F" w14:textId="77777777" w:rsidR="00A86138" w:rsidRPr="00BD290F" w:rsidRDefault="00A86138" w:rsidP="00A90BA6">
            <w:pPr>
              <w:spacing w:before="60" w:after="60"/>
              <w:jc w:val="center"/>
              <w:rPr>
                <w:rFonts w:eastAsia="Times New Roman"/>
                <w:szCs w:val="28"/>
              </w:rPr>
            </w:pPr>
            <w:r w:rsidRPr="00BD290F">
              <w:rPr>
                <w:rFonts w:eastAsia="Times New Roman"/>
                <w:szCs w:val="28"/>
              </w:rPr>
              <w:t>0,03</w:t>
            </w:r>
          </w:p>
        </w:tc>
      </w:tr>
      <w:tr w:rsidR="00BD290F" w:rsidRPr="00BD290F" w14:paraId="1FC4D71A" w14:textId="77777777" w:rsidTr="00212CF9">
        <w:tc>
          <w:tcPr>
            <w:tcW w:w="4141" w:type="pct"/>
            <w:vAlign w:val="center"/>
            <w:hideMark/>
          </w:tcPr>
          <w:p w14:paraId="22D66C19" w14:textId="77777777" w:rsidR="00A86138" w:rsidRPr="00BD290F" w:rsidRDefault="00A86138" w:rsidP="00A90BA6">
            <w:pPr>
              <w:spacing w:before="60" w:after="60"/>
              <w:rPr>
                <w:rFonts w:eastAsia="Times New Roman"/>
                <w:szCs w:val="28"/>
              </w:rPr>
            </w:pPr>
            <w:r w:rsidRPr="00BD290F">
              <w:rPr>
                <w:rFonts w:eastAsia="Times New Roman"/>
                <w:szCs w:val="28"/>
              </w:rPr>
              <w:t>Từ 200 đến dưới 400 hộ</w:t>
            </w:r>
          </w:p>
        </w:tc>
        <w:tc>
          <w:tcPr>
            <w:tcW w:w="859" w:type="pct"/>
            <w:vAlign w:val="center"/>
            <w:hideMark/>
          </w:tcPr>
          <w:p w14:paraId="16FDC03E" w14:textId="77777777" w:rsidR="00A86138" w:rsidRPr="00BD290F" w:rsidRDefault="00A86138" w:rsidP="00A90BA6">
            <w:pPr>
              <w:spacing w:before="60" w:after="60"/>
              <w:jc w:val="center"/>
              <w:rPr>
                <w:rFonts w:eastAsia="Times New Roman"/>
                <w:szCs w:val="28"/>
              </w:rPr>
            </w:pPr>
            <w:r w:rsidRPr="00BD290F">
              <w:rPr>
                <w:rFonts w:eastAsia="Times New Roman"/>
                <w:szCs w:val="28"/>
              </w:rPr>
              <w:t>0,04</w:t>
            </w:r>
          </w:p>
        </w:tc>
      </w:tr>
      <w:tr w:rsidR="00BD290F" w:rsidRPr="00BD290F" w14:paraId="1451E588" w14:textId="77777777" w:rsidTr="00212CF9">
        <w:tc>
          <w:tcPr>
            <w:tcW w:w="4141" w:type="pct"/>
            <w:vAlign w:val="center"/>
            <w:hideMark/>
          </w:tcPr>
          <w:p w14:paraId="5D7CCC59" w14:textId="77777777" w:rsidR="00A86138" w:rsidRPr="00BD290F" w:rsidRDefault="00A86138" w:rsidP="00A90BA6">
            <w:pPr>
              <w:spacing w:before="60" w:after="60"/>
              <w:rPr>
                <w:rFonts w:eastAsia="Times New Roman"/>
                <w:szCs w:val="28"/>
              </w:rPr>
            </w:pPr>
            <w:r w:rsidRPr="00BD290F">
              <w:rPr>
                <w:rFonts w:eastAsia="Times New Roman"/>
                <w:szCs w:val="28"/>
              </w:rPr>
              <w:t>Từ 400 đến dưới 600 hộ</w:t>
            </w:r>
          </w:p>
        </w:tc>
        <w:tc>
          <w:tcPr>
            <w:tcW w:w="859" w:type="pct"/>
            <w:vAlign w:val="center"/>
            <w:hideMark/>
          </w:tcPr>
          <w:p w14:paraId="17B84C40" w14:textId="77777777" w:rsidR="00A86138" w:rsidRPr="00BD290F" w:rsidRDefault="00A86138" w:rsidP="00A90BA6">
            <w:pPr>
              <w:spacing w:before="60" w:after="60"/>
              <w:jc w:val="center"/>
              <w:rPr>
                <w:rFonts w:eastAsia="Times New Roman"/>
                <w:szCs w:val="28"/>
              </w:rPr>
            </w:pPr>
            <w:r w:rsidRPr="00BD290F">
              <w:rPr>
                <w:rFonts w:eastAsia="Times New Roman"/>
                <w:szCs w:val="28"/>
              </w:rPr>
              <w:t>0,05</w:t>
            </w:r>
          </w:p>
        </w:tc>
      </w:tr>
      <w:tr w:rsidR="00BD290F" w:rsidRPr="00BD290F" w14:paraId="669109FD" w14:textId="77777777" w:rsidTr="00212CF9">
        <w:tc>
          <w:tcPr>
            <w:tcW w:w="4141" w:type="pct"/>
            <w:vAlign w:val="center"/>
            <w:hideMark/>
          </w:tcPr>
          <w:p w14:paraId="24DF4150" w14:textId="77777777" w:rsidR="00A86138" w:rsidRPr="00BD290F" w:rsidRDefault="00A86138" w:rsidP="00A90BA6">
            <w:pPr>
              <w:spacing w:before="60" w:after="60"/>
              <w:rPr>
                <w:rFonts w:eastAsia="Times New Roman"/>
                <w:szCs w:val="28"/>
              </w:rPr>
            </w:pPr>
            <w:r w:rsidRPr="00BD290F">
              <w:rPr>
                <w:rFonts w:eastAsia="Times New Roman"/>
                <w:szCs w:val="28"/>
              </w:rPr>
              <w:t>Từ 600 đến dưới 800 hộ</w:t>
            </w:r>
          </w:p>
        </w:tc>
        <w:tc>
          <w:tcPr>
            <w:tcW w:w="859" w:type="pct"/>
            <w:vAlign w:val="center"/>
            <w:hideMark/>
          </w:tcPr>
          <w:p w14:paraId="23D968AA" w14:textId="77777777" w:rsidR="00A86138" w:rsidRPr="00BD290F" w:rsidRDefault="00A86138" w:rsidP="00A90BA6">
            <w:pPr>
              <w:spacing w:before="60" w:after="60"/>
              <w:jc w:val="center"/>
              <w:rPr>
                <w:rFonts w:eastAsia="Times New Roman"/>
                <w:szCs w:val="28"/>
              </w:rPr>
            </w:pPr>
            <w:r w:rsidRPr="00BD290F">
              <w:rPr>
                <w:rFonts w:eastAsia="Times New Roman"/>
                <w:szCs w:val="28"/>
              </w:rPr>
              <w:t>0,06</w:t>
            </w:r>
          </w:p>
        </w:tc>
      </w:tr>
      <w:tr w:rsidR="00BD290F" w:rsidRPr="00BD290F" w14:paraId="189FADF1" w14:textId="77777777" w:rsidTr="00212CF9">
        <w:tc>
          <w:tcPr>
            <w:tcW w:w="4141" w:type="pct"/>
            <w:vAlign w:val="center"/>
            <w:hideMark/>
          </w:tcPr>
          <w:p w14:paraId="65390CA5" w14:textId="77777777" w:rsidR="00A86138" w:rsidRPr="00BD290F" w:rsidRDefault="00A86138" w:rsidP="00A90BA6">
            <w:pPr>
              <w:spacing w:before="60" w:after="60"/>
              <w:rPr>
                <w:rFonts w:eastAsia="Times New Roman"/>
                <w:szCs w:val="28"/>
              </w:rPr>
            </w:pPr>
            <w:r w:rsidRPr="00BD290F">
              <w:rPr>
                <w:rFonts w:eastAsia="Times New Roman"/>
                <w:szCs w:val="28"/>
              </w:rPr>
              <w:lastRenderedPageBreak/>
              <w:t>Từ 800 đến dưới 1.000 hộ</w:t>
            </w:r>
          </w:p>
        </w:tc>
        <w:tc>
          <w:tcPr>
            <w:tcW w:w="859" w:type="pct"/>
            <w:vAlign w:val="center"/>
            <w:hideMark/>
          </w:tcPr>
          <w:p w14:paraId="58A6F8B2" w14:textId="77777777" w:rsidR="00A86138" w:rsidRPr="00BD290F" w:rsidRDefault="00A86138" w:rsidP="0064770F">
            <w:pPr>
              <w:spacing w:before="60" w:after="60"/>
              <w:jc w:val="center"/>
              <w:rPr>
                <w:rFonts w:eastAsia="Times New Roman"/>
                <w:szCs w:val="28"/>
              </w:rPr>
            </w:pPr>
            <w:r w:rsidRPr="00BD290F">
              <w:rPr>
                <w:rFonts w:eastAsia="Times New Roman"/>
                <w:szCs w:val="28"/>
              </w:rPr>
              <w:t>0,07</w:t>
            </w:r>
          </w:p>
        </w:tc>
      </w:tr>
      <w:tr w:rsidR="00BD290F" w:rsidRPr="00BD290F" w14:paraId="5CDBA5E3" w14:textId="77777777" w:rsidTr="00212CF9">
        <w:tc>
          <w:tcPr>
            <w:tcW w:w="4141" w:type="pct"/>
            <w:vAlign w:val="center"/>
            <w:hideMark/>
          </w:tcPr>
          <w:p w14:paraId="40E0B1E5" w14:textId="77777777" w:rsidR="00A86138" w:rsidRPr="00BD290F" w:rsidRDefault="00A86138" w:rsidP="00A90BA6">
            <w:pPr>
              <w:spacing w:before="60" w:after="60"/>
              <w:rPr>
                <w:rFonts w:eastAsia="Times New Roman"/>
                <w:szCs w:val="28"/>
              </w:rPr>
            </w:pPr>
            <w:r w:rsidRPr="00BD290F">
              <w:rPr>
                <w:rFonts w:eastAsia="Times New Roman"/>
                <w:szCs w:val="28"/>
              </w:rPr>
              <w:t>Từ 1.000 đến dưới 1.200 hộ</w:t>
            </w:r>
          </w:p>
        </w:tc>
        <w:tc>
          <w:tcPr>
            <w:tcW w:w="859" w:type="pct"/>
            <w:vAlign w:val="center"/>
            <w:hideMark/>
          </w:tcPr>
          <w:p w14:paraId="071572A4" w14:textId="77777777" w:rsidR="00A86138" w:rsidRPr="00BD290F" w:rsidRDefault="00A86138" w:rsidP="0064770F">
            <w:pPr>
              <w:spacing w:before="60" w:after="60"/>
              <w:jc w:val="center"/>
              <w:rPr>
                <w:rFonts w:eastAsia="Times New Roman"/>
                <w:szCs w:val="28"/>
              </w:rPr>
            </w:pPr>
            <w:r w:rsidRPr="00BD290F">
              <w:rPr>
                <w:rFonts w:eastAsia="Times New Roman"/>
                <w:szCs w:val="28"/>
              </w:rPr>
              <w:t>0,08</w:t>
            </w:r>
          </w:p>
        </w:tc>
      </w:tr>
      <w:tr w:rsidR="00BD290F" w:rsidRPr="00BD290F" w14:paraId="73E9F2A9" w14:textId="77777777" w:rsidTr="00212CF9">
        <w:tc>
          <w:tcPr>
            <w:tcW w:w="4141" w:type="pct"/>
            <w:vAlign w:val="center"/>
            <w:hideMark/>
          </w:tcPr>
          <w:p w14:paraId="7177EB06" w14:textId="77777777" w:rsidR="00A86138" w:rsidRPr="00BD290F" w:rsidRDefault="00A86138" w:rsidP="00A90BA6">
            <w:pPr>
              <w:spacing w:before="60" w:after="60"/>
              <w:rPr>
                <w:rFonts w:eastAsia="Times New Roman"/>
                <w:szCs w:val="28"/>
              </w:rPr>
            </w:pPr>
            <w:r w:rsidRPr="00BD290F">
              <w:rPr>
                <w:rFonts w:eastAsia="Times New Roman"/>
                <w:szCs w:val="28"/>
              </w:rPr>
              <w:t>Từ 1.200 hộ trở lên</w:t>
            </w:r>
          </w:p>
        </w:tc>
        <w:tc>
          <w:tcPr>
            <w:tcW w:w="859" w:type="pct"/>
            <w:vAlign w:val="center"/>
            <w:hideMark/>
          </w:tcPr>
          <w:p w14:paraId="20804529" w14:textId="77777777" w:rsidR="00A86138" w:rsidRPr="00BD290F" w:rsidRDefault="00A86138" w:rsidP="0064770F">
            <w:pPr>
              <w:spacing w:before="60" w:after="60"/>
              <w:jc w:val="center"/>
              <w:rPr>
                <w:rFonts w:eastAsia="Times New Roman"/>
                <w:szCs w:val="28"/>
              </w:rPr>
            </w:pPr>
            <w:r w:rsidRPr="00BD290F">
              <w:rPr>
                <w:rFonts w:eastAsia="Times New Roman"/>
                <w:szCs w:val="28"/>
              </w:rPr>
              <w:t>0,09</w:t>
            </w:r>
          </w:p>
        </w:tc>
      </w:tr>
    </w:tbl>
    <w:p w14:paraId="710F2325"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c) Định mức phân bổ</w:t>
      </w:r>
    </w:p>
    <w:p w14:paraId="6CC4360E"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Vốn hỗ trợ phân bổ cho từng xã</w:t>
      </w:r>
      <w:r w:rsidRPr="00BD290F">
        <w:rPr>
          <w:rFonts w:eastAsia="Times New Roman"/>
          <w:szCs w:val="28"/>
          <w:lang w:val="vi-VN"/>
        </w:rPr>
        <w:t>, phường</w:t>
      </w:r>
      <w:r w:rsidRPr="00BD290F">
        <w:rPr>
          <w:rFonts w:eastAsia="Times New Roman"/>
          <w:szCs w:val="28"/>
        </w:rPr>
        <w:t xml:space="preserve"> được tính theo công thức: Ai= Q.Xi. Trong đó:</w:t>
      </w:r>
    </w:p>
    <w:p w14:paraId="3E5A9B6A"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Ai là vốn ngân sách trung ương phân bổ cho xã</w:t>
      </w:r>
      <w:r w:rsidRPr="00BD290F">
        <w:rPr>
          <w:rFonts w:eastAsia="Times New Roman"/>
          <w:szCs w:val="28"/>
          <w:lang w:val="vi-VN"/>
        </w:rPr>
        <w:t>, phường</w:t>
      </w:r>
      <w:r w:rsidRPr="00BD290F">
        <w:rPr>
          <w:rFonts w:eastAsia="Times New Roman"/>
          <w:szCs w:val="28"/>
        </w:rPr>
        <w:t xml:space="preserve"> thứ i.</w:t>
      </w:r>
    </w:p>
    <w:p w14:paraId="350913BD"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Q là vốn bình quân cho một</w:t>
      </w:r>
      <w:r w:rsidRPr="00BD290F">
        <w:rPr>
          <w:rFonts w:eastAsia="Times New Roman"/>
          <w:szCs w:val="28"/>
          <w:lang w:val="vi-VN"/>
        </w:rPr>
        <w:t xml:space="preserve"> xã, phường</w:t>
      </w:r>
      <w:r w:rsidRPr="00BD290F">
        <w:rPr>
          <w:rFonts w:eastAsia="Times New Roman"/>
          <w:szCs w:val="28"/>
        </w:rPr>
        <w:t xml:space="preserve"> được tính theo công thức:</w:t>
      </w:r>
    </w:p>
    <w:p w14:paraId="38471885" w14:textId="77777777" w:rsidR="00A86138" w:rsidRPr="00BD290F" w:rsidRDefault="00A86138" w:rsidP="00A90BA6">
      <w:pPr>
        <w:shd w:val="clear" w:color="auto" w:fill="FFFFFF"/>
        <w:spacing w:before="240" w:after="240" w:line="360" w:lineRule="exact"/>
        <w:rPr>
          <w:rFonts w:eastAsia="Times New Roman"/>
          <w:szCs w:val="28"/>
        </w:rPr>
      </w:pPr>
      <m:oMathPara>
        <m:oMath>
          <m:r>
            <w:rPr>
              <w:rFonts w:ascii="Cambria Math" w:eastAsia="Times New Roman" w:hAnsi="Cambria Math"/>
              <w:szCs w:val="28"/>
            </w:rPr>
            <m:t xml:space="preserve"> Q= </m:t>
          </m:r>
          <m:f>
            <m:fPr>
              <m:ctrlPr>
                <w:rPr>
                  <w:rFonts w:ascii="Cambria Math" w:eastAsia="Times New Roman" w:hAnsi="Cambria Math"/>
                  <w:i/>
                  <w:szCs w:val="28"/>
                </w:rPr>
              </m:ctrlPr>
            </m:fPr>
            <m:num>
              <m:r>
                <w:rPr>
                  <w:rFonts w:ascii="Cambria Math" w:eastAsia="Times New Roman" w:hAnsi="Cambria Math"/>
                  <w:szCs w:val="28"/>
                </w:rPr>
                <m:t>G</m:t>
              </m:r>
            </m:num>
            <m:den>
              <m:nary>
                <m:naryPr>
                  <m:chr m:val="∑"/>
                  <m:limLoc m:val="undOvr"/>
                  <m:ctrlPr>
                    <w:rPr>
                      <w:rFonts w:ascii="Cambria Math" w:eastAsia="Times New Roman" w:hAnsi="Cambria Math"/>
                      <w:i/>
                      <w:szCs w:val="28"/>
                    </w:rPr>
                  </m:ctrlPr>
                </m:naryPr>
                <m:sub>
                  <m:r>
                    <m:rPr>
                      <m:sty m:val="p"/>
                    </m:rPr>
                    <w:rPr>
                      <w:rFonts w:ascii="Cambria Math" w:eastAsia="Times New Roman" w:hAnsi="Cambria Math"/>
                      <w:szCs w:val="28"/>
                    </w:rPr>
                    <m:t>i</m:t>
                  </m:r>
                </m:sub>
                <m:sup>
                  <m:r>
                    <w:rPr>
                      <w:rFonts w:ascii="Cambria Math" w:eastAsia="Times New Roman" w:hAnsi="Cambria Math"/>
                      <w:szCs w:val="28"/>
                    </w:rPr>
                    <m:t>n</m:t>
                  </m:r>
                </m:sup>
                <m:e>
                  <m:r>
                    <m:rPr>
                      <m:sty m:val="p"/>
                    </m:rPr>
                    <w:rPr>
                      <w:rFonts w:ascii="Cambria Math" w:eastAsia="Times New Roman" w:hAnsi="Cambria Math"/>
                      <w:szCs w:val="28"/>
                    </w:rPr>
                    <m:t>Xi</m:t>
                  </m:r>
                </m:e>
              </m:nary>
            </m:den>
          </m:f>
        </m:oMath>
      </m:oMathPara>
    </w:p>
    <w:p w14:paraId="1A847E82"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G là tổng số vốn ngân sách trung ương phân bổ cho các địa phương, trên cơ sở tổng số vốn nhu cầu đăng ký của các xã, phường để thực hiện Dự án 2.</w:t>
      </w:r>
    </w:p>
    <w:p w14:paraId="67F6130C"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Xi là tổng số hệ số tiêu chí Tổng tỷ lệ hộ nghèo và hộ cận nghèo của xã, phường và tiêu chí Tổng số hộ nghèo và hộ cận nghèo của xã</w:t>
      </w:r>
      <w:r w:rsidRPr="00BD290F">
        <w:rPr>
          <w:rFonts w:eastAsia="Times New Roman"/>
          <w:szCs w:val="28"/>
          <w:lang w:val="vi-VN"/>
        </w:rPr>
        <w:t>, phường</w:t>
      </w:r>
      <w:r w:rsidRPr="00BD290F">
        <w:rPr>
          <w:rFonts w:eastAsia="Times New Roman"/>
          <w:szCs w:val="28"/>
        </w:rPr>
        <w:t xml:space="preserve"> thứ i.</w:t>
      </w:r>
    </w:p>
    <w:p w14:paraId="66459AAF" w14:textId="77777777" w:rsidR="00A86138" w:rsidRPr="00BD290F" w:rsidRDefault="00A86138" w:rsidP="00737B75">
      <w:pPr>
        <w:shd w:val="clear" w:color="auto" w:fill="FFFFFF"/>
        <w:spacing w:before="120" w:after="120" w:line="360" w:lineRule="exact"/>
        <w:ind w:firstLine="709"/>
        <w:rPr>
          <w:rFonts w:eastAsia="Times New Roman"/>
          <w:szCs w:val="28"/>
        </w:rPr>
      </w:pPr>
      <w:r w:rsidRPr="00BD290F">
        <w:rPr>
          <w:rFonts w:eastAsia="Times New Roman"/>
          <w:b/>
          <w:bCs/>
          <w:szCs w:val="28"/>
        </w:rPr>
        <w:t>3. Dự án 3: Hỗ trợ phát triển sản xuất, cải thiện dinh dưỡng</w:t>
      </w:r>
    </w:p>
    <w:p w14:paraId="174C17EC"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a) Tiểu dự án 1: Hỗ trợ phát triển sản xuất trong lĩnh vực nông nghiệp</w:t>
      </w:r>
    </w:p>
    <w:p w14:paraId="5D3E853C"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lang w:val="vi-VN"/>
        </w:rPr>
        <w:t>-</w:t>
      </w:r>
      <w:r w:rsidRPr="00BD290F">
        <w:rPr>
          <w:rFonts w:eastAsia="Times New Roman"/>
          <w:szCs w:val="28"/>
        </w:rPr>
        <w:t xml:space="preserve"> Phân bổ 100% vốn ngân sách trung ương của Dự án cho các xã, phường.</w:t>
      </w:r>
    </w:p>
    <w:p w14:paraId="428A3A18" w14:textId="77777777" w:rsidR="00A86138" w:rsidRPr="00BD290F" w:rsidRDefault="00A86138" w:rsidP="00737B75">
      <w:pPr>
        <w:shd w:val="clear" w:color="auto" w:fill="FFFFFF"/>
        <w:spacing w:before="120" w:after="120" w:line="360" w:lineRule="exact"/>
        <w:ind w:firstLine="709"/>
        <w:jc w:val="both"/>
        <w:rPr>
          <w:rFonts w:eastAsia="Times New Roman"/>
          <w:szCs w:val="28"/>
          <w:lang w:val="vi-VN"/>
        </w:rPr>
      </w:pPr>
      <w:r w:rsidRPr="00BD290F">
        <w:rPr>
          <w:rFonts w:eastAsia="Times New Roman"/>
          <w:szCs w:val="28"/>
          <w:lang w:val="vi-VN"/>
        </w:rPr>
        <w:t>-</w:t>
      </w:r>
      <w:r w:rsidRPr="00BD290F">
        <w:rPr>
          <w:rFonts w:eastAsia="Times New Roman"/>
          <w:szCs w:val="28"/>
        </w:rPr>
        <w:t xml:space="preserve"> Tiêu chí</w:t>
      </w:r>
      <w:r w:rsidRPr="00BD290F">
        <w:rPr>
          <w:rFonts w:eastAsia="Times New Roman"/>
          <w:szCs w:val="28"/>
          <w:lang w:val="vi-VN"/>
        </w:rPr>
        <w:t xml:space="preserve"> và định mức</w:t>
      </w:r>
      <w:r w:rsidRPr="00BD290F">
        <w:rPr>
          <w:rFonts w:eastAsia="Times New Roman"/>
          <w:szCs w:val="28"/>
        </w:rPr>
        <w:t xml:space="preserve"> phân bổ vốn</w:t>
      </w:r>
      <w:r w:rsidRPr="00BD290F">
        <w:rPr>
          <w:rFonts w:eastAsia="Times New Roman"/>
          <w:szCs w:val="28"/>
          <w:lang w:val="vi-VN"/>
        </w:rPr>
        <w:t>: Áp dụng như đối với Dự án 2.</w:t>
      </w:r>
    </w:p>
    <w:p w14:paraId="4BE388C1"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b) Tiểu dự án 2: Cải thiện dinh dưỡng</w:t>
      </w:r>
    </w:p>
    <w:p w14:paraId="73022C60" w14:textId="77777777"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szCs w:val="28"/>
        </w:rPr>
        <w:t>- Phân bổ vốn ngân sách trung ương của Tiểu dự án: Tối đa 10% cho các sở, ngành cấp tỉnh; tối thiểu 90% cho các xã, phường.</w:t>
      </w:r>
    </w:p>
    <w:p w14:paraId="7B8368A6" w14:textId="77777777" w:rsidR="000D43DB" w:rsidRPr="00BD290F" w:rsidRDefault="000D43DB" w:rsidP="00737B75">
      <w:pPr>
        <w:shd w:val="clear" w:color="auto" w:fill="FFFFFF"/>
        <w:spacing w:before="120" w:after="120" w:line="360" w:lineRule="exact"/>
        <w:ind w:firstLine="709"/>
        <w:jc w:val="both"/>
        <w:rPr>
          <w:rFonts w:eastAsia="Times New Roman"/>
          <w:szCs w:val="28"/>
          <w:lang w:val="vi-VN"/>
        </w:rPr>
      </w:pPr>
      <w:r w:rsidRPr="00BD290F">
        <w:rPr>
          <w:rFonts w:eastAsia="Times New Roman"/>
          <w:szCs w:val="28"/>
          <w:lang w:val="vi-VN"/>
        </w:rPr>
        <w:t>-</w:t>
      </w:r>
      <w:r w:rsidRPr="00BD290F">
        <w:rPr>
          <w:rFonts w:eastAsia="Times New Roman"/>
          <w:szCs w:val="28"/>
        </w:rPr>
        <w:t xml:space="preserve"> Tiêu chí</w:t>
      </w:r>
      <w:r w:rsidRPr="00BD290F">
        <w:rPr>
          <w:rFonts w:eastAsia="Times New Roman"/>
          <w:szCs w:val="28"/>
          <w:lang w:val="vi-VN"/>
        </w:rPr>
        <w:t xml:space="preserve"> và định mức</w:t>
      </w:r>
      <w:r w:rsidRPr="00BD290F">
        <w:rPr>
          <w:rFonts w:eastAsia="Times New Roman"/>
          <w:szCs w:val="28"/>
        </w:rPr>
        <w:t xml:space="preserve"> phân bổ vốn</w:t>
      </w:r>
      <w:r w:rsidRPr="00BD290F">
        <w:rPr>
          <w:rFonts w:eastAsia="Times New Roman"/>
          <w:szCs w:val="28"/>
          <w:lang w:val="vi-VN"/>
        </w:rPr>
        <w:t>: Áp dụng như đối với Dự án 2.</w:t>
      </w:r>
    </w:p>
    <w:p w14:paraId="3FBD15D3" w14:textId="71BE5BE0" w:rsidR="00A86138" w:rsidRPr="00BD290F" w:rsidRDefault="00A86138" w:rsidP="00737B75">
      <w:pPr>
        <w:shd w:val="clear" w:color="auto" w:fill="FFFFFF"/>
        <w:spacing w:before="120" w:after="120" w:line="360" w:lineRule="exact"/>
        <w:ind w:firstLine="709"/>
        <w:jc w:val="both"/>
        <w:rPr>
          <w:rFonts w:eastAsia="Times New Roman"/>
          <w:szCs w:val="28"/>
        </w:rPr>
      </w:pPr>
      <w:r w:rsidRPr="00BD290F">
        <w:rPr>
          <w:rFonts w:eastAsia="Times New Roman"/>
          <w:b/>
          <w:bCs/>
          <w:szCs w:val="28"/>
        </w:rPr>
        <w:t>4. Dự án 4: Phát triển giáo dục nghề nghiệp, việc làm bền vững</w:t>
      </w:r>
    </w:p>
    <w:p w14:paraId="53FB0CFA" w14:textId="77777777" w:rsidR="00A86138" w:rsidRPr="00BD290F" w:rsidRDefault="00A86138" w:rsidP="00737B75">
      <w:pPr>
        <w:shd w:val="clear" w:color="auto" w:fill="FFFFFF"/>
        <w:spacing w:before="120" w:after="120" w:line="360" w:lineRule="exact"/>
        <w:ind w:firstLine="720"/>
        <w:jc w:val="both"/>
        <w:rPr>
          <w:rFonts w:eastAsia="Times New Roman"/>
          <w:spacing w:val="-2"/>
          <w:szCs w:val="28"/>
        </w:rPr>
      </w:pPr>
      <w:r w:rsidRPr="00BD290F">
        <w:rPr>
          <w:rFonts w:eastAsia="Times New Roman"/>
          <w:spacing w:val="-2"/>
          <w:szCs w:val="28"/>
        </w:rPr>
        <w:t>a) Tiểu dự án 1: Phát triển giáo dục nghề nghiệp vùng nghèo, vùng khó khăn</w:t>
      </w:r>
    </w:p>
    <w:p w14:paraId="32E08310" w14:textId="476988BF"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Đối với vốn đầu tư phát triển</w:t>
      </w:r>
      <w:r w:rsidR="000D43DB" w:rsidRPr="00BD290F">
        <w:rPr>
          <w:rFonts w:eastAsia="Times New Roman"/>
          <w:szCs w:val="28"/>
        </w:rPr>
        <w:t>: P</w:t>
      </w:r>
      <w:r w:rsidRPr="00BD290F">
        <w:rPr>
          <w:rFonts w:eastAsia="Times New Roman"/>
          <w:szCs w:val="28"/>
        </w:rPr>
        <w:t>hân bổ 100% vốn đầu tư phát triển cho các cơ sở giáo dục nghề nghiệp công lập trên địa bàn tỉnh. Phân bổ vốn trên cơ sở nhu cầu thực tế của các cơ sở giáo dục nghề nghiệp công lập và theo danh mục dự án đầu tư cụ thể được cấp có thẩm quyền phê duyệt, giao Ủy ban nhân dân tỉnh phân bổ chi tiết.</w:t>
      </w:r>
    </w:p>
    <w:p w14:paraId="6A10D932"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Đối với vốn sự nghiệp</w:t>
      </w:r>
    </w:p>
    <w:p w14:paraId="236951F2"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xml:space="preserve">+ Phân bổ tối đa 50% tổng số vốn sự nghiệp của Tiểu dự án để hỗ trợ một số cơ sở giáo dục nghề nghiệp công lập trên địa bàn. Tùy thuộc vào điều kiện và </w:t>
      </w:r>
      <w:r w:rsidRPr="00BD290F">
        <w:rPr>
          <w:rFonts w:eastAsia="Times New Roman"/>
          <w:szCs w:val="28"/>
        </w:rPr>
        <w:lastRenderedPageBreak/>
        <w:t>nhu cầu thực tế hàng năm để lựa chọn cơ sở giáo dục nghề nghiệp công lập được hỗ trợ và số vốn hỗ trợ.</w:t>
      </w:r>
    </w:p>
    <w:p w14:paraId="1A797148"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Phân bổ tối thiểu 50% tổng số vốn sự nghiệp của Tiểu dự án cho</w:t>
      </w:r>
      <w:r w:rsidRPr="00BD290F">
        <w:rPr>
          <w:rFonts w:eastAsia="Times New Roman"/>
          <w:szCs w:val="28"/>
          <w:lang w:val="vi-VN"/>
        </w:rPr>
        <w:t xml:space="preserve"> các xã, phường </w:t>
      </w:r>
      <w:r w:rsidRPr="00BD290F">
        <w:rPr>
          <w:rFonts w:eastAsia="Times New Roman"/>
          <w:szCs w:val="28"/>
        </w:rPr>
        <w:t>để hỗ trợ đào tạo nghề cho người lao động thuộc hộ nghèo, hộ cận nghèo, hộ mới thoát nghèo</w:t>
      </w:r>
      <w:r w:rsidRPr="00BD290F">
        <w:rPr>
          <w:rFonts w:eastAsia="Times New Roman"/>
          <w:szCs w:val="28"/>
          <w:lang w:val="vi-VN"/>
        </w:rPr>
        <w:t xml:space="preserve"> và hộ có thu nhập thấp</w:t>
      </w:r>
      <w:r w:rsidRPr="00BD290F">
        <w:rPr>
          <w:rFonts w:eastAsia="Times New Roman"/>
          <w:szCs w:val="28"/>
        </w:rPr>
        <w:t>.</w:t>
      </w:r>
    </w:p>
    <w:p w14:paraId="36AFE798" w14:textId="77777777" w:rsidR="000D43DB" w:rsidRPr="00BD290F" w:rsidRDefault="000D43DB" w:rsidP="00737B75">
      <w:pPr>
        <w:shd w:val="clear" w:color="auto" w:fill="FFFFFF"/>
        <w:spacing w:before="120" w:after="120" w:line="360" w:lineRule="exact"/>
        <w:ind w:firstLine="709"/>
        <w:jc w:val="both"/>
        <w:rPr>
          <w:rFonts w:eastAsia="Times New Roman"/>
          <w:szCs w:val="28"/>
          <w:lang w:val="vi-VN"/>
        </w:rPr>
      </w:pPr>
      <w:r w:rsidRPr="00BD290F">
        <w:rPr>
          <w:rFonts w:eastAsia="Times New Roman"/>
          <w:szCs w:val="28"/>
          <w:lang w:val="vi-VN"/>
        </w:rPr>
        <w:t>-</w:t>
      </w:r>
      <w:r w:rsidRPr="00BD290F">
        <w:rPr>
          <w:rFonts w:eastAsia="Times New Roman"/>
          <w:szCs w:val="28"/>
        </w:rPr>
        <w:t xml:space="preserve"> Tiêu chí</w:t>
      </w:r>
      <w:r w:rsidRPr="00BD290F">
        <w:rPr>
          <w:rFonts w:eastAsia="Times New Roman"/>
          <w:szCs w:val="28"/>
          <w:lang w:val="vi-VN"/>
        </w:rPr>
        <w:t xml:space="preserve"> và định mức</w:t>
      </w:r>
      <w:r w:rsidRPr="00BD290F">
        <w:rPr>
          <w:rFonts w:eastAsia="Times New Roman"/>
          <w:szCs w:val="28"/>
        </w:rPr>
        <w:t xml:space="preserve"> phân bổ vốn</w:t>
      </w:r>
      <w:r w:rsidRPr="00BD290F">
        <w:rPr>
          <w:rFonts w:eastAsia="Times New Roman"/>
          <w:szCs w:val="28"/>
          <w:lang w:val="vi-VN"/>
        </w:rPr>
        <w:t>: Áp dụng như đối với Dự án 2.</w:t>
      </w:r>
    </w:p>
    <w:p w14:paraId="302D5896" w14:textId="77777777" w:rsidR="00A86138" w:rsidRPr="00BD290F" w:rsidRDefault="00A86138" w:rsidP="00737B75">
      <w:pPr>
        <w:shd w:val="clear" w:color="auto" w:fill="FFFFFF"/>
        <w:spacing w:before="120" w:after="120" w:line="360" w:lineRule="exact"/>
        <w:ind w:firstLine="720"/>
        <w:jc w:val="both"/>
        <w:rPr>
          <w:rFonts w:eastAsia="Times New Roman"/>
          <w:spacing w:val="-6"/>
          <w:szCs w:val="28"/>
        </w:rPr>
      </w:pPr>
      <w:r w:rsidRPr="00BD290F">
        <w:rPr>
          <w:rFonts w:eastAsia="Times New Roman"/>
          <w:spacing w:val="-6"/>
          <w:szCs w:val="28"/>
        </w:rPr>
        <w:t>b) Tiểu dự án 2: Hỗ trợ người lao động đi làm việc ở nước ngoài theo hợp đồng</w:t>
      </w:r>
    </w:p>
    <w:p w14:paraId="56AC346E"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Phân bổ vốn ngân sách trung ương của Tiểu dự án: Tối đa 30% cho các sở, ngành cấp tỉnh; tối thiểu 70% cho các</w:t>
      </w:r>
      <w:r w:rsidRPr="00BD290F">
        <w:rPr>
          <w:rFonts w:eastAsia="Times New Roman"/>
          <w:szCs w:val="28"/>
          <w:lang w:val="vi-VN"/>
        </w:rPr>
        <w:t xml:space="preserve"> xã thuộc các</w:t>
      </w:r>
      <w:r w:rsidRPr="00BD290F">
        <w:rPr>
          <w:rFonts w:eastAsia="Times New Roman"/>
          <w:szCs w:val="28"/>
        </w:rPr>
        <w:t xml:space="preserve"> huyện nghèo</w:t>
      </w:r>
      <w:r w:rsidRPr="00BD290F">
        <w:rPr>
          <w:rFonts w:eastAsia="Times New Roman"/>
          <w:szCs w:val="28"/>
          <w:lang w:val="vi-VN"/>
        </w:rPr>
        <w:t xml:space="preserve"> trước khi thực hiện sáp nhập chính quyền địa phương 2 cấp</w:t>
      </w:r>
      <w:r w:rsidRPr="00BD290F">
        <w:rPr>
          <w:rFonts w:eastAsia="Times New Roman"/>
          <w:szCs w:val="28"/>
        </w:rPr>
        <w:t>.</w:t>
      </w:r>
    </w:p>
    <w:p w14:paraId="276433CF"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Tiêu chí và định mức phân bổ vốn cho các xã, phường: Áp dụng như đối với Dự án 2.</w:t>
      </w:r>
    </w:p>
    <w:p w14:paraId="4A24497E"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c) Tiểu dự án 3: Hỗ trợ việc làm bền vững</w:t>
      </w:r>
    </w:p>
    <w:p w14:paraId="6D243093"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Đối với vốn đầu tư phát triển nguồn ngân sách trung ương: Phân bổ 100% cho các sở, ngành cấp tỉnh.</w:t>
      </w:r>
    </w:p>
    <w:p w14:paraId="20687463"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Đối với vốn sự nghiệp nguồn ngân sách trung ương: Phân bổ tối đa 30% cho các sở, ngành cấp tỉnh; tối thiểu 70% cho các xã, phường.</w:t>
      </w:r>
    </w:p>
    <w:p w14:paraId="6245AC8A"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Tiêu chí và định mức phân bổ vốn cho các xã, phường: Áp dụng như đối với Dự án 2.</w:t>
      </w:r>
    </w:p>
    <w:p w14:paraId="25F91B47" w14:textId="77777777" w:rsidR="00A86138" w:rsidRPr="00BD290F" w:rsidRDefault="00A86138" w:rsidP="00737B75">
      <w:pPr>
        <w:shd w:val="clear" w:color="auto" w:fill="FFFFFF"/>
        <w:spacing w:before="120" w:after="120" w:line="360" w:lineRule="exact"/>
        <w:ind w:firstLine="720"/>
        <w:jc w:val="both"/>
        <w:rPr>
          <w:rFonts w:eastAsia="Times New Roman"/>
          <w:szCs w:val="28"/>
          <w:lang w:val="vi-VN"/>
        </w:rPr>
      </w:pPr>
      <w:r w:rsidRPr="00BD290F">
        <w:rPr>
          <w:rFonts w:eastAsia="Times New Roman"/>
          <w:b/>
          <w:bCs/>
          <w:szCs w:val="28"/>
        </w:rPr>
        <w:t>5. Dự án 5: Hỗ trợ nhà ở cho hộ nghèo, hộ cận nghèo trên địa bàn các</w:t>
      </w:r>
      <w:r w:rsidRPr="00BD290F">
        <w:rPr>
          <w:rFonts w:eastAsia="Times New Roman"/>
          <w:b/>
          <w:bCs/>
          <w:szCs w:val="28"/>
          <w:lang w:val="vi-VN"/>
        </w:rPr>
        <w:t xml:space="preserve"> xã thuộc các </w:t>
      </w:r>
      <w:r w:rsidRPr="00BD290F">
        <w:rPr>
          <w:rFonts w:eastAsia="Times New Roman"/>
          <w:b/>
          <w:bCs/>
          <w:szCs w:val="28"/>
        </w:rPr>
        <w:t>huyện nghèo</w:t>
      </w:r>
      <w:r w:rsidRPr="00BD290F">
        <w:rPr>
          <w:rFonts w:eastAsia="Times New Roman"/>
          <w:b/>
          <w:bCs/>
          <w:szCs w:val="28"/>
          <w:lang w:val="vi-VN"/>
        </w:rPr>
        <w:t xml:space="preserve"> trước khi sáp nhập chính quyền địa phương 2 cấp.</w:t>
      </w:r>
    </w:p>
    <w:p w14:paraId="7E92D62C" w14:textId="36C9F85E" w:rsidR="00776B4E"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xml:space="preserve">a) </w:t>
      </w:r>
      <w:r w:rsidR="003A71CF" w:rsidRPr="00BD290F">
        <w:rPr>
          <w:rFonts w:eastAsia="Times New Roman"/>
          <w:szCs w:val="28"/>
        </w:rPr>
        <w:t>Căn cứ vốn nghiệp ngân sách trung ương, căn cứ nhu cầu xây dựng mới, sửa chữa nhà ở của hộ nghèo, hộ cận nghèo trên đị</w:t>
      </w:r>
      <w:r w:rsidR="00776B4E" w:rsidRPr="00BD290F">
        <w:rPr>
          <w:rFonts w:eastAsia="Times New Roman"/>
          <w:szCs w:val="28"/>
        </w:rPr>
        <w:t>a</w:t>
      </w:r>
      <w:r w:rsidR="003A71CF" w:rsidRPr="00BD290F">
        <w:rPr>
          <w:rFonts w:eastAsia="Times New Roman"/>
          <w:szCs w:val="28"/>
        </w:rPr>
        <w:t xml:space="preserve"> bàn các </w:t>
      </w:r>
      <w:r w:rsidR="004F129A" w:rsidRPr="00BD290F">
        <w:rPr>
          <w:rFonts w:eastAsia="Times New Roman"/>
          <w:szCs w:val="28"/>
        </w:rPr>
        <w:t xml:space="preserve">xã </w:t>
      </w:r>
      <w:r w:rsidR="0006703F" w:rsidRPr="00BD290F">
        <w:rPr>
          <w:rFonts w:eastAsia="Times New Roman"/>
          <w:szCs w:val="28"/>
        </w:rPr>
        <w:t>sau sáp nhập</w:t>
      </w:r>
      <w:r w:rsidR="002A1280" w:rsidRPr="00BD290F">
        <w:rPr>
          <w:rFonts w:eastAsia="Times New Roman"/>
          <w:szCs w:val="28"/>
        </w:rPr>
        <w:t xml:space="preserve"> </w:t>
      </w:r>
      <w:r w:rsidR="00776B4E" w:rsidRPr="00BD290F">
        <w:rPr>
          <w:rFonts w:eastAsia="Times New Roman"/>
          <w:szCs w:val="28"/>
        </w:rPr>
        <w:t>(</w:t>
      </w:r>
      <w:r w:rsidR="002A1280" w:rsidRPr="00BD290F">
        <w:rPr>
          <w:rFonts w:eastAsia="Times New Roman"/>
          <w:szCs w:val="28"/>
        </w:rPr>
        <w:t xml:space="preserve">trong đó: Xác định rõ </w:t>
      </w:r>
      <w:r w:rsidR="004A7A0A" w:rsidRPr="00BD290F">
        <w:rPr>
          <w:rFonts w:eastAsia="Times New Roman"/>
          <w:szCs w:val="28"/>
        </w:rPr>
        <w:t>đối tượng</w:t>
      </w:r>
      <w:r w:rsidR="002A1280" w:rsidRPr="00BD290F">
        <w:rPr>
          <w:rFonts w:eastAsia="Times New Roman"/>
          <w:szCs w:val="28"/>
        </w:rPr>
        <w:t xml:space="preserve"> </w:t>
      </w:r>
      <w:r w:rsidR="004A7A0A" w:rsidRPr="00BD290F">
        <w:rPr>
          <w:rFonts w:eastAsia="Times New Roman"/>
          <w:szCs w:val="28"/>
        </w:rPr>
        <w:t xml:space="preserve">hộ nghèo, hộ cận nghèo trên địa bàn các xã sau sáp nhập </w:t>
      </w:r>
      <w:r w:rsidR="00912535" w:rsidRPr="00BD290F">
        <w:rPr>
          <w:rFonts w:eastAsia="Times New Roman"/>
          <w:szCs w:val="28"/>
        </w:rPr>
        <w:t xml:space="preserve">là </w:t>
      </w:r>
      <w:r w:rsidR="00FC6F0C" w:rsidRPr="00BD290F">
        <w:rPr>
          <w:rFonts w:eastAsia="Times New Roman"/>
          <w:szCs w:val="28"/>
        </w:rPr>
        <w:t xml:space="preserve">đối tượng </w:t>
      </w:r>
      <w:r w:rsidR="00912535" w:rsidRPr="00BD290F">
        <w:rPr>
          <w:rFonts w:eastAsia="Times New Roman"/>
          <w:szCs w:val="28"/>
        </w:rPr>
        <w:t xml:space="preserve">hộ gia đình trên </w:t>
      </w:r>
      <w:r w:rsidR="004F129A" w:rsidRPr="00BD290F">
        <w:rPr>
          <w:rFonts w:eastAsia="Times New Roman"/>
          <w:szCs w:val="28"/>
        </w:rPr>
        <w:t>địa bàn các huyện nghèo</w:t>
      </w:r>
      <w:r w:rsidR="00C80F10" w:rsidRPr="00BD290F">
        <w:rPr>
          <w:rFonts w:eastAsia="Times New Roman"/>
          <w:szCs w:val="28"/>
        </w:rPr>
        <w:t xml:space="preserve"> theo Quyết định số 353/QĐ-TTg ngày 15 tháng 3 năm 2021 của Thủ tướng Chính phủ</w:t>
      </w:r>
      <w:r w:rsidR="002C56B4" w:rsidRPr="00BD290F">
        <w:rPr>
          <w:rFonts w:eastAsia="Times New Roman"/>
          <w:szCs w:val="28"/>
        </w:rPr>
        <w:t>,</w:t>
      </w:r>
      <w:r w:rsidR="004F129A" w:rsidRPr="00BD290F">
        <w:rPr>
          <w:rFonts w:eastAsia="Times New Roman"/>
          <w:szCs w:val="28"/>
        </w:rPr>
        <w:t xml:space="preserve"> trước khi thực hiện chính quyền địa phương hai cấp</w:t>
      </w:r>
      <w:r w:rsidR="00912535" w:rsidRPr="00BD290F">
        <w:rPr>
          <w:rFonts w:eastAsia="Times New Roman"/>
          <w:szCs w:val="28"/>
        </w:rPr>
        <w:t>)</w:t>
      </w:r>
      <w:r w:rsidR="003A71CF" w:rsidRPr="00BD290F">
        <w:rPr>
          <w:rFonts w:eastAsia="Times New Roman"/>
          <w:szCs w:val="28"/>
        </w:rPr>
        <w:t>, Ủy b</w:t>
      </w:r>
      <w:r w:rsidR="00912535" w:rsidRPr="00BD290F">
        <w:rPr>
          <w:rFonts w:eastAsia="Times New Roman"/>
          <w:szCs w:val="28"/>
        </w:rPr>
        <w:t>a</w:t>
      </w:r>
      <w:r w:rsidR="003A71CF" w:rsidRPr="00BD290F">
        <w:rPr>
          <w:rFonts w:eastAsia="Times New Roman"/>
          <w:szCs w:val="28"/>
        </w:rPr>
        <w:t xml:space="preserve">n nhân dân tỉnh phân bổ kinh phí cho các </w:t>
      </w:r>
      <w:r w:rsidR="00912535" w:rsidRPr="00BD290F">
        <w:rPr>
          <w:rFonts w:eastAsia="Times New Roman"/>
          <w:szCs w:val="28"/>
        </w:rPr>
        <w:t>xã thực hiện</w:t>
      </w:r>
      <w:r w:rsidR="003A71CF" w:rsidRPr="00BD290F">
        <w:rPr>
          <w:rFonts w:eastAsia="Times New Roman"/>
          <w:szCs w:val="28"/>
        </w:rPr>
        <w:t xml:space="preserve">. </w:t>
      </w:r>
    </w:p>
    <w:p w14:paraId="192F0010" w14:textId="6C4D3BED" w:rsidR="003A71CF" w:rsidRPr="00BD290F" w:rsidRDefault="0006703F"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b)</w:t>
      </w:r>
      <w:r w:rsidR="003A71CF" w:rsidRPr="00BD290F">
        <w:rPr>
          <w:rFonts w:eastAsia="Times New Roman"/>
          <w:szCs w:val="28"/>
        </w:rPr>
        <w:t xml:space="preserve"> Định mức hỗ t</w:t>
      </w:r>
      <w:r w:rsidR="00FC6F0C" w:rsidRPr="00BD290F">
        <w:rPr>
          <w:rFonts w:eastAsia="Times New Roman"/>
          <w:szCs w:val="28"/>
        </w:rPr>
        <w:t>r</w:t>
      </w:r>
      <w:r w:rsidR="003A71CF" w:rsidRPr="00BD290F">
        <w:rPr>
          <w:rFonts w:eastAsia="Times New Roman"/>
          <w:szCs w:val="28"/>
        </w:rPr>
        <w:t>ợ: Mức hỗ t</w:t>
      </w:r>
      <w:r w:rsidR="00FC6F0C" w:rsidRPr="00BD290F">
        <w:rPr>
          <w:rFonts w:eastAsia="Times New Roman"/>
          <w:szCs w:val="28"/>
        </w:rPr>
        <w:t>r</w:t>
      </w:r>
      <w:r w:rsidR="003A71CF" w:rsidRPr="00BD290F">
        <w:rPr>
          <w:rFonts w:eastAsia="Times New Roman"/>
          <w:szCs w:val="28"/>
        </w:rPr>
        <w:t xml:space="preserve">ợ theo quy định tại khoản 2, Điều 9 Quyết định </w:t>
      </w:r>
      <w:r w:rsidRPr="00BD290F">
        <w:rPr>
          <w:rFonts w:eastAsia="Times New Roman"/>
          <w:szCs w:val="28"/>
        </w:rPr>
        <w:t>s</w:t>
      </w:r>
      <w:r w:rsidR="003A71CF" w:rsidRPr="00BD290F">
        <w:rPr>
          <w:rFonts w:eastAsia="Times New Roman"/>
          <w:szCs w:val="28"/>
        </w:rPr>
        <w:t>ố 02/2022/QĐ-TTg và bố t</w:t>
      </w:r>
      <w:r w:rsidRPr="00BD290F">
        <w:rPr>
          <w:rFonts w:eastAsia="Times New Roman"/>
          <w:szCs w:val="28"/>
        </w:rPr>
        <w:t>r</w:t>
      </w:r>
      <w:r w:rsidR="003A71CF" w:rsidRPr="00BD290F">
        <w:rPr>
          <w:rFonts w:eastAsia="Times New Roman"/>
          <w:szCs w:val="28"/>
        </w:rPr>
        <w:t>í vốn đối ứng củ</w:t>
      </w:r>
      <w:r w:rsidRPr="00BD290F">
        <w:rPr>
          <w:rFonts w:eastAsia="Times New Roman"/>
          <w:szCs w:val="28"/>
        </w:rPr>
        <w:t>a</w:t>
      </w:r>
      <w:r w:rsidR="003A71CF" w:rsidRPr="00BD290F">
        <w:rPr>
          <w:rFonts w:eastAsia="Times New Roman"/>
          <w:szCs w:val="28"/>
        </w:rPr>
        <w:t xml:space="preserve"> ngân </w:t>
      </w:r>
      <w:r w:rsidRPr="00BD290F">
        <w:rPr>
          <w:rFonts w:eastAsia="Times New Roman"/>
          <w:szCs w:val="28"/>
        </w:rPr>
        <w:t>s</w:t>
      </w:r>
      <w:r w:rsidR="003A71CF" w:rsidRPr="00BD290F">
        <w:rPr>
          <w:rFonts w:eastAsia="Times New Roman"/>
          <w:szCs w:val="28"/>
        </w:rPr>
        <w:t>ách đị</w:t>
      </w:r>
      <w:r w:rsidRPr="00BD290F">
        <w:rPr>
          <w:rFonts w:eastAsia="Times New Roman"/>
          <w:szCs w:val="28"/>
        </w:rPr>
        <w:t>a</w:t>
      </w:r>
      <w:r w:rsidR="003A71CF" w:rsidRPr="00BD290F">
        <w:rPr>
          <w:rFonts w:eastAsia="Times New Roman"/>
          <w:szCs w:val="28"/>
        </w:rPr>
        <w:t xml:space="preserve"> ph</w:t>
      </w:r>
      <w:r w:rsidRPr="00BD290F">
        <w:rPr>
          <w:rFonts w:eastAsia="Times New Roman"/>
          <w:szCs w:val="28"/>
        </w:rPr>
        <w:t>ươ</w:t>
      </w:r>
      <w:r w:rsidR="003A71CF" w:rsidRPr="00BD290F">
        <w:rPr>
          <w:rFonts w:eastAsia="Times New Roman"/>
          <w:szCs w:val="28"/>
        </w:rPr>
        <w:t>ng theo quy định.</w:t>
      </w:r>
    </w:p>
    <w:p w14:paraId="13154687" w14:textId="77777777" w:rsidR="00A86138" w:rsidRPr="00BD290F" w:rsidRDefault="00A86138" w:rsidP="00737B75">
      <w:pPr>
        <w:shd w:val="clear" w:color="auto" w:fill="FFFFFF"/>
        <w:spacing w:before="120" w:after="120" w:line="360" w:lineRule="exact"/>
        <w:ind w:firstLine="720"/>
        <w:rPr>
          <w:rFonts w:eastAsia="Times New Roman"/>
          <w:szCs w:val="28"/>
        </w:rPr>
      </w:pPr>
      <w:r w:rsidRPr="00BD290F">
        <w:rPr>
          <w:rFonts w:eastAsia="Times New Roman"/>
          <w:b/>
          <w:bCs/>
          <w:szCs w:val="28"/>
        </w:rPr>
        <w:t>6. Dự án 6: Truyền thông và giảm nghèo về thông tin</w:t>
      </w:r>
    </w:p>
    <w:p w14:paraId="323F5FBE"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a) Tiểu dự án 1: Giảm nghèo về thông tin</w:t>
      </w:r>
    </w:p>
    <w:p w14:paraId="4448C66D"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Phân bổ vốn ngân sách trung ương của Tiểu dự án: Tối đa 30% cho các sở, ngành cấp tỉnh; tối thiểu 70% cho các xã, phường.</w:t>
      </w:r>
    </w:p>
    <w:p w14:paraId="36F12B99"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lastRenderedPageBreak/>
        <w:t>- Tiêu chí và định mức phân bổ vốn cho các xã, phường: Áp dụng như đối với Dự án 2.</w:t>
      </w:r>
    </w:p>
    <w:p w14:paraId="5D226AEA"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b) Tiểu dự án 2: Truyền thông về giảm nghèo đa chiều</w:t>
      </w:r>
    </w:p>
    <w:p w14:paraId="0C6C8726"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Phân bổ vốn ngân sách trung ương của Tiểu dự án: Tối đa 30% cho các sở, ngành cấp tỉnh; tối thiểu 70% cho các xã, phường.</w:t>
      </w:r>
    </w:p>
    <w:p w14:paraId="3A89851C"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Tiêu chí và định mức phân bổ vốn cho các xã, phường: Áp dụng như đối với Dự án 2.</w:t>
      </w:r>
    </w:p>
    <w:p w14:paraId="48C467E0" w14:textId="77777777" w:rsidR="00A86138" w:rsidRPr="00BD290F" w:rsidRDefault="00A86138" w:rsidP="00737B75">
      <w:pPr>
        <w:shd w:val="clear" w:color="auto" w:fill="FFFFFF"/>
        <w:spacing w:before="120" w:after="120" w:line="360" w:lineRule="exact"/>
        <w:ind w:firstLine="720"/>
        <w:jc w:val="both"/>
        <w:rPr>
          <w:rFonts w:eastAsia="Times New Roman"/>
          <w:b/>
          <w:szCs w:val="28"/>
        </w:rPr>
      </w:pPr>
      <w:r w:rsidRPr="00BD290F">
        <w:rPr>
          <w:rFonts w:eastAsia="Times New Roman"/>
          <w:b/>
          <w:szCs w:val="28"/>
        </w:rPr>
        <w:t>7. Dự án 7: Nâng cao năng lực và giám sát, đánh giá Chương trình</w:t>
      </w:r>
    </w:p>
    <w:p w14:paraId="31D1DB03" w14:textId="70E542B3"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a) Tiểu dự án 1</w:t>
      </w:r>
      <w:r w:rsidR="006B6D68" w:rsidRPr="00BD290F">
        <w:rPr>
          <w:rFonts w:eastAsia="Times New Roman"/>
          <w:szCs w:val="28"/>
        </w:rPr>
        <w:t>:</w:t>
      </w:r>
      <w:r w:rsidRPr="00BD290F">
        <w:rPr>
          <w:rFonts w:eastAsia="Times New Roman"/>
          <w:szCs w:val="28"/>
        </w:rPr>
        <w:t xml:space="preserve"> Nâng cao năng lực thực hiện Chương trình</w:t>
      </w:r>
    </w:p>
    <w:p w14:paraId="5ACBC560" w14:textId="494E6458"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xml:space="preserve">-Phân bổ cho Ban </w:t>
      </w:r>
      <w:r w:rsidR="006B6D68" w:rsidRPr="00BD290F">
        <w:rPr>
          <w:rFonts w:eastAsia="Times New Roman"/>
          <w:szCs w:val="28"/>
        </w:rPr>
        <w:t>C</w:t>
      </w:r>
      <w:r w:rsidRPr="00BD290F">
        <w:rPr>
          <w:rFonts w:eastAsia="Times New Roman"/>
          <w:szCs w:val="28"/>
        </w:rPr>
        <w:t>hỉ đạo cấp tỉnh tối đa bằng 30% tổng mức vốn ngân sách ngân sách trung ương phân bổ hàng năm của Tiểu dự án 1.</w:t>
      </w:r>
    </w:p>
    <w:p w14:paraId="565FD20F" w14:textId="59DF10D0"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xml:space="preserve">- Phân bổ cho Ban </w:t>
      </w:r>
      <w:r w:rsidR="006B6D68" w:rsidRPr="00BD290F">
        <w:rPr>
          <w:rFonts w:eastAsia="Times New Roman"/>
          <w:szCs w:val="28"/>
        </w:rPr>
        <w:t>C</w:t>
      </w:r>
      <w:r w:rsidRPr="00BD290F">
        <w:rPr>
          <w:rFonts w:eastAsia="Times New Roman"/>
          <w:szCs w:val="28"/>
        </w:rPr>
        <w:t>hỉ đạo cấp xã, phường tối thiểu 70% tổng mức vốn ngân sách trung ương phân bổ hàng năm của Tiểu dự án 1.</w:t>
      </w:r>
    </w:p>
    <w:p w14:paraId="350A6FA7" w14:textId="44414376"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xml:space="preserve">b) Tiểu dự án </w:t>
      </w:r>
      <w:r w:rsidR="006B6D68" w:rsidRPr="00BD290F">
        <w:rPr>
          <w:rFonts w:eastAsia="Times New Roman"/>
          <w:szCs w:val="28"/>
        </w:rPr>
        <w:t>2:</w:t>
      </w:r>
      <w:r w:rsidRPr="00BD290F">
        <w:rPr>
          <w:rFonts w:eastAsia="Times New Roman"/>
          <w:szCs w:val="28"/>
        </w:rPr>
        <w:t xml:space="preserve"> Giám sát, đánh giá</w:t>
      </w:r>
    </w:p>
    <w:p w14:paraId="6C6A2A37" w14:textId="3E666879"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w:t>
      </w:r>
      <w:r w:rsidRPr="00BD290F">
        <w:rPr>
          <w:rFonts w:eastAsia="Times New Roman"/>
          <w:szCs w:val="28"/>
          <w:lang w:val="vi-VN"/>
        </w:rPr>
        <w:t xml:space="preserve"> </w:t>
      </w:r>
      <w:r w:rsidRPr="00BD290F">
        <w:rPr>
          <w:rFonts w:eastAsia="Times New Roman"/>
          <w:szCs w:val="28"/>
        </w:rPr>
        <w:t xml:space="preserve">Phân bổ cho Ban </w:t>
      </w:r>
      <w:r w:rsidR="006B6D68" w:rsidRPr="00BD290F">
        <w:rPr>
          <w:rFonts w:eastAsia="Times New Roman"/>
          <w:szCs w:val="28"/>
        </w:rPr>
        <w:t>C</w:t>
      </w:r>
      <w:r w:rsidRPr="00BD290F">
        <w:rPr>
          <w:rFonts w:eastAsia="Times New Roman"/>
          <w:szCs w:val="28"/>
        </w:rPr>
        <w:t>hỉ đạo cấp tỉnh tối đa bằng 25% tổng mức vốn ngân sách ngân sách trung ương phân bổ hàng năm của Tiểu dự án 2.</w:t>
      </w:r>
    </w:p>
    <w:p w14:paraId="3FE263EF" w14:textId="3DCA72B5"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 xml:space="preserve">- Phân bổ cho Ban </w:t>
      </w:r>
      <w:r w:rsidR="006B6D68" w:rsidRPr="00BD290F">
        <w:rPr>
          <w:rFonts w:eastAsia="Times New Roman"/>
          <w:szCs w:val="28"/>
        </w:rPr>
        <w:t>C</w:t>
      </w:r>
      <w:r w:rsidRPr="00BD290F">
        <w:rPr>
          <w:rFonts w:eastAsia="Times New Roman"/>
          <w:szCs w:val="28"/>
        </w:rPr>
        <w:t>hỉ đạo cấp xã, phường tối thiểu 75% tổng mức vốn ngân sách trung ương phân bổ hàng năm của Tiểu dự án 2.</w:t>
      </w:r>
    </w:p>
    <w:p w14:paraId="6B20ADA6"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c) Tiêu chí và định mức phân bổ vốn cho các xã, phường</w:t>
      </w:r>
      <w:r w:rsidRPr="00BD290F">
        <w:rPr>
          <w:rFonts w:eastAsia="Times New Roman"/>
          <w:szCs w:val="28"/>
          <w:lang w:val="vi-VN"/>
        </w:rPr>
        <w:t xml:space="preserve"> </w:t>
      </w:r>
      <w:r w:rsidRPr="00BD290F">
        <w:rPr>
          <w:rFonts w:eastAsia="Times New Roman"/>
          <w:szCs w:val="28"/>
        </w:rPr>
        <w:t>(áp dụng cho cả Tiểu dự án 1 và Tiểu dự án 2): Áp dụng như đối với Dự án 2.</w:t>
      </w:r>
    </w:p>
    <w:p w14:paraId="5FB2B3BC" w14:textId="77777777" w:rsidR="00A86138" w:rsidRPr="00BD290F" w:rsidRDefault="00A86138" w:rsidP="00737B75">
      <w:pPr>
        <w:shd w:val="clear" w:color="auto" w:fill="FFFFFF"/>
        <w:spacing w:before="120" w:after="120" w:line="360" w:lineRule="exact"/>
        <w:ind w:firstLine="720"/>
        <w:jc w:val="both"/>
        <w:rPr>
          <w:rFonts w:eastAsia="Times New Roman"/>
          <w:b/>
          <w:szCs w:val="28"/>
        </w:rPr>
      </w:pPr>
      <w:r w:rsidRPr="00BD290F">
        <w:rPr>
          <w:rFonts w:eastAsia="Times New Roman"/>
          <w:b/>
          <w:szCs w:val="28"/>
        </w:rPr>
        <w:t>Điều 6. Mức vốn đối ứng của ngân sách địa phương</w:t>
      </w:r>
    </w:p>
    <w:p w14:paraId="65A62C01" w14:textId="77777777" w:rsidR="00A86138" w:rsidRPr="00BD290F" w:rsidRDefault="00A86138" w:rsidP="00737B75">
      <w:pPr>
        <w:shd w:val="clear" w:color="auto" w:fill="FFFFFF"/>
        <w:spacing w:before="120" w:after="120" w:line="360" w:lineRule="exact"/>
        <w:ind w:firstLine="720"/>
        <w:jc w:val="both"/>
        <w:rPr>
          <w:rFonts w:eastAsia="Times New Roman"/>
          <w:szCs w:val="28"/>
        </w:rPr>
      </w:pPr>
      <w:r w:rsidRPr="00BD290F">
        <w:rPr>
          <w:rFonts w:eastAsia="Times New Roman"/>
          <w:szCs w:val="28"/>
        </w:rPr>
        <w:t>Mức vốn ngân sách địa phương đối ứng tối thiểu 3% tổng vốn ngân sách trung ương hỗ trợ thực hiện Chương trình cho tỉnh. Việc phân bổ vốn ngân sách địa phương đối ứng thực hiện Chương trình hằng năm giao cho Ủy ban nhân dân tỉnh trình Hội đồng nhân dân tỉnh xem xét quyết định đảm bảo phù hợp với các quy định hiện hành và điều kiện thực tiễn trên địa bàn tỉnh.</w:t>
      </w:r>
    </w:p>
    <w:p w14:paraId="15B96165" w14:textId="77777777" w:rsidR="00676034" w:rsidRPr="00BD290F" w:rsidRDefault="00676034" w:rsidP="00737B75">
      <w:pPr>
        <w:shd w:val="clear" w:color="auto" w:fill="FFFFFF"/>
        <w:spacing w:before="120" w:after="120" w:line="360" w:lineRule="exact"/>
        <w:ind w:firstLine="720"/>
        <w:jc w:val="both"/>
        <w:rPr>
          <w:rFonts w:eastAsia="Times New Roman"/>
          <w:b/>
          <w:bCs/>
          <w:szCs w:val="28"/>
        </w:rPr>
      </w:pPr>
      <w:r w:rsidRPr="00BD290F">
        <w:rPr>
          <w:rFonts w:eastAsia="Times New Roman"/>
          <w:b/>
          <w:bCs/>
          <w:szCs w:val="28"/>
        </w:rPr>
        <w:t xml:space="preserve">Điều 7. Tổ chức thực hiện </w:t>
      </w:r>
    </w:p>
    <w:p w14:paraId="4233FDAE" w14:textId="77777777" w:rsidR="00676034" w:rsidRPr="00BD290F" w:rsidRDefault="00676034" w:rsidP="00737B75">
      <w:pPr>
        <w:spacing w:before="120" w:after="120" w:line="360" w:lineRule="exact"/>
        <w:ind w:firstLine="720"/>
        <w:jc w:val="both"/>
        <w:rPr>
          <w:szCs w:val="28"/>
          <w:lang w:val="vi-VN"/>
        </w:rPr>
      </w:pPr>
      <w:r w:rsidRPr="00BD290F">
        <w:rPr>
          <w:szCs w:val="28"/>
          <w:lang w:val="vi-VN"/>
        </w:rPr>
        <w:t xml:space="preserve">1. Giao Ủy ban nhân dân tỉnh tổ chức thực hiện Nghị quyết này theo đúng quy định của pháp luật. </w:t>
      </w:r>
    </w:p>
    <w:p w14:paraId="5F97D6F3" w14:textId="77777777" w:rsidR="00676034" w:rsidRPr="00BD290F" w:rsidRDefault="00676034" w:rsidP="00737B75">
      <w:pPr>
        <w:spacing w:before="120" w:after="120" w:line="360" w:lineRule="exact"/>
        <w:ind w:firstLine="720"/>
        <w:jc w:val="both"/>
        <w:rPr>
          <w:szCs w:val="28"/>
          <w:lang w:val="vi-VN"/>
        </w:rPr>
      </w:pPr>
      <w:r w:rsidRPr="00BD290F">
        <w:rPr>
          <w:szCs w:val="28"/>
          <w:lang w:val="vi-VN"/>
        </w:rPr>
        <w:t>2. Giao Thường trực Hội đồng nhân dân tỉnh, các Ban của Hội đồng nhân dân tỉnh, các Tổ đại biểu và đại biểu Hội đồng nhân dân tỉnh giám sát việc thực hiện Nghị quyết này.</w:t>
      </w:r>
    </w:p>
    <w:p w14:paraId="1F5F517B" w14:textId="05035EB5" w:rsidR="00676034" w:rsidRPr="00BD290F" w:rsidRDefault="00676034" w:rsidP="00737B75">
      <w:pPr>
        <w:shd w:val="clear" w:color="auto" w:fill="FFFFFF"/>
        <w:spacing w:before="120" w:after="120" w:line="360" w:lineRule="exact"/>
        <w:ind w:firstLine="720"/>
        <w:jc w:val="both"/>
        <w:rPr>
          <w:rFonts w:eastAsia="Times New Roman"/>
          <w:b/>
          <w:bCs/>
          <w:szCs w:val="28"/>
        </w:rPr>
      </w:pPr>
      <w:r w:rsidRPr="00BD290F">
        <w:rPr>
          <w:rFonts w:eastAsia="Times New Roman"/>
          <w:b/>
          <w:bCs/>
          <w:szCs w:val="28"/>
        </w:rPr>
        <w:t xml:space="preserve">Điều 8. Tổ chức thực hiện </w:t>
      </w:r>
    </w:p>
    <w:p w14:paraId="0BE413CB" w14:textId="77777777" w:rsidR="00676034" w:rsidRPr="00BD290F" w:rsidRDefault="00676034" w:rsidP="00737B75">
      <w:pPr>
        <w:spacing w:before="120" w:after="120" w:line="360" w:lineRule="exact"/>
        <w:ind w:firstLine="720"/>
        <w:jc w:val="both"/>
        <w:rPr>
          <w:szCs w:val="28"/>
          <w:lang w:val="vi-VN"/>
        </w:rPr>
      </w:pPr>
      <w:r w:rsidRPr="00BD290F">
        <w:rPr>
          <w:szCs w:val="28"/>
          <w:lang w:val="vi-VN"/>
        </w:rPr>
        <w:lastRenderedPageBreak/>
        <w:t>1. Nghị quyết này đã được Hội đồng nhân dân tỉnh Tuyên Quang khoá ……… kỳ họp thứ ….. thông qua ngày ….. tháng …. năm ….. và có hiệu lực từ ngày ….. tháng ….. năm …….</w:t>
      </w:r>
    </w:p>
    <w:p w14:paraId="22D5E8F5" w14:textId="7D3350BD" w:rsidR="00676034" w:rsidRPr="00BD290F" w:rsidRDefault="00676034" w:rsidP="00737B75">
      <w:pPr>
        <w:spacing w:before="120" w:after="120" w:line="360" w:lineRule="exact"/>
        <w:ind w:firstLine="720"/>
        <w:jc w:val="both"/>
        <w:rPr>
          <w:szCs w:val="28"/>
        </w:rPr>
      </w:pPr>
      <w:r w:rsidRPr="00BD290F">
        <w:rPr>
          <w:szCs w:val="28"/>
        </w:rPr>
        <w:t xml:space="preserve">2. </w:t>
      </w:r>
      <w:r w:rsidRPr="00BD290F">
        <w:rPr>
          <w:szCs w:val="28"/>
          <w:lang w:val="vi-VN"/>
        </w:rPr>
        <w:t xml:space="preserve">Nghị quyết này Bãi bỏ toàn bộ </w:t>
      </w:r>
      <w:r w:rsidRPr="00BD290F">
        <w:rPr>
          <w:szCs w:val="28"/>
        </w:rPr>
        <w:t xml:space="preserve">03 </w:t>
      </w:r>
      <w:r w:rsidRPr="00BD290F">
        <w:rPr>
          <w:szCs w:val="28"/>
          <w:lang w:val="vi-VN"/>
        </w:rPr>
        <w:t>Nghị quyết</w:t>
      </w:r>
      <w:r w:rsidR="00737B75" w:rsidRPr="00BD290F">
        <w:rPr>
          <w:szCs w:val="28"/>
        </w:rPr>
        <w:t xml:space="preserve"> gồm</w:t>
      </w:r>
      <w:r w:rsidRPr="00BD290F">
        <w:rPr>
          <w:szCs w:val="28"/>
        </w:rPr>
        <w:t xml:space="preserve">: </w:t>
      </w:r>
    </w:p>
    <w:p w14:paraId="550F7F1D" w14:textId="77777777" w:rsidR="00676034" w:rsidRPr="00BD290F" w:rsidRDefault="00676034" w:rsidP="00737B75">
      <w:pPr>
        <w:spacing w:before="120" w:after="120" w:line="360" w:lineRule="exact"/>
        <w:ind w:firstLine="720"/>
        <w:jc w:val="both"/>
        <w:rPr>
          <w:szCs w:val="28"/>
          <w:lang w:val="nl-NL"/>
        </w:rPr>
      </w:pPr>
      <w:r w:rsidRPr="00BD290F">
        <w:rPr>
          <w:szCs w:val="28"/>
          <w:lang w:val="nl-NL"/>
        </w:rPr>
        <w:t xml:space="preserve">a) Nghị quyết số 03/2022/NQ-HĐND ngày 27 tháng 5 năm 2022 của </w:t>
      </w:r>
      <w:r w:rsidRPr="00BD290F">
        <w:rPr>
          <w:rFonts w:eastAsia="Arial"/>
          <w:lang w:val="nb-NO"/>
        </w:rPr>
        <w:t>Hội đồng nhân dân</w:t>
      </w:r>
      <w:r w:rsidRPr="00BD290F">
        <w:rPr>
          <w:szCs w:val="28"/>
          <w:lang w:val="nl-NL"/>
        </w:rPr>
        <w:t xml:space="preserve"> tỉnh Hà Giang Quy định nguyên tắc, tiêu chí, định mức phân bổ vốn ngân sách nhà nước thực hiện Chương trình mục tiêu quốc gia giảm nghèo bền vững giai đoạn 2021-2025 trên địa bàn tỉnh Hà Giang; </w:t>
      </w:r>
    </w:p>
    <w:p w14:paraId="28B808D1" w14:textId="77777777" w:rsidR="00676034" w:rsidRPr="00BD290F" w:rsidRDefault="00676034" w:rsidP="00737B75">
      <w:pPr>
        <w:spacing w:before="120" w:after="120" w:line="360" w:lineRule="exact"/>
        <w:ind w:firstLine="720"/>
        <w:jc w:val="both"/>
        <w:rPr>
          <w:spacing w:val="-6"/>
          <w:kern w:val="2"/>
          <w:szCs w:val="28"/>
          <w:lang w:val="nl-NL"/>
        </w:rPr>
      </w:pPr>
      <w:r w:rsidRPr="00BD290F">
        <w:rPr>
          <w:bCs/>
          <w:iCs/>
          <w:szCs w:val="28"/>
          <w:lang w:val="nl-NL"/>
        </w:rPr>
        <w:t xml:space="preserve">b) </w:t>
      </w:r>
      <w:r w:rsidRPr="00BD290F">
        <w:rPr>
          <w:bCs/>
          <w:iCs/>
          <w:spacing w:val="-6"/>
          <w:szCs w:val="28"/>
          <w:lang w:val="nl-NL"/>
        </w:rPr>
        <w:t xml:space="preserve">Nghị quyết số 01/2023/NQ-HĐND ngày 22 tháng 3 năm 2023 của </w:t>
      </w:r>
      <w:r w:rsidRPr="00BD290F">
        <w:rPr>
          <w:rFonts w:eastAsia="Arial"/>
          <w:spacing w:val="-6"/>
          <w:lang w:val="nb-NO"/>
        </w:rPr>
        <w:t xml:space="preserve">Hội đồng nhân dân </w:t>
      </w:r>
      <w:r w:rsidRPr="00BD290F">
        <w:rPr>
          <w:bCs/>
          <w:iCs/>
          <w:spacing w:val="-6"/>
          <w:szCs w:val="28"/>
          <w:lang w:val="nl-NL"/>
        </w:rPr>
        <w:t xml:space="preserve">tỉnh Hà Giang sửa đổi, bổ sung một số điều của </w:t>
      </w:r>
      <w:r w:rsidRPr="00BD290F">
        <w:rPr>
          <w:spacing w:val="-6"/>
          <w:szCs w:val="28"/>
          <w:lang w:val="nl-NL"/>
        </w:rPr>
        <w:t xml:space="preserve">Nghị quyết số 03/2022/NQ-HĐND ngày 27 tháng 5 năm 2022 của </w:t>
      </w:r>
      <w:r w:rsidRPr="00BD290F">
        <w:rPr>
          <w:rFonts w:eastAsia="Arial"/>
          <w:spacing w:val="-6"/>
          <w:lang w:val="nb-NO"/>
        </w:rPr>
        <w:t xml:space="preserve">Hội đồng nhân dân </w:t>
      </w:r>
      <w:r w:rsidRPr="00BD290F">
        <w:rPr>
          <w:spacing w:val="-6"/>
          <w:szCs w:val="28"/>
          <w:lang w:val="nl-NL"/>
        </w:rPr>
        <w:t xml:space="preserve">tỉnh Hà Giang; </w:t>
      </w:r>
    </w:p>
    <w:p w14:paraId="3D275D1A" w14:textId="77777777" w:rsidR="00676034" w:rsidRPr="00BD290F" w:rsidRDefault="00676034" w:rsidP="00737B75">
      <w:pPr>
        <w:spacing w:before="120" w:after="120" w:line="360" w:lineRule="exact"/>
        <w:ind w:firstLine="720"/>
        <w:jc w:val="both"/>
        <w:rPr>
          <w:kern w:val="2"/>
          <w:szCs w:val="28"/>
          <w:lang w:val="nl-NL"/>
        </w:rPr>
      </w:pPr>
      <w:r w:rsidRPr="00BD290F">
        <w:rPr>
          <w:kern w:val="2"/>
          <w:szCs w:val="28"/>
          <w:lang w:val="nl-NL"/>
        </w:rPr>
        <w:t>c) Nghị quyết số 09/2022/NQ-HĐND ngày 01 tháng 7 năm 2022 của HĐND tỉnh Tuyên Quang Quy định nguyên tắc, tiêu chí, định mức phân bổ vốn ngân sách nhà nước thực hiện Chương trình mục tiêu quốc gia giảm nghèo bền vững giai đoạn 2021-2025 trên địa bàn tỉnh Tuyên Quang.</w:t>
      </w:r>
    </w:p>
    <w:p w14:paraId="453A0CF7" w14:textId="28E03A3F" w:rsidR="00676034" w:rsidRPr="00BD290F" w:rsidRDefault="00676034" w:rsidP="00737B75">
      <w:pPr>
        <w:spacing w:before="120" w:after="120" w:line="360" w:lineRule="exact"/>
        <w:ind w:firstLine="720"/>
        <w:jc w:val="both"/>
        <w:rPr>
          <w:szCs w:val="28"/>
          <w:lang w:val="vi-VN"/>
        </w:rPr>
      </w:pPr>
      <w:r w:rsidRPr="00BD290F">
        <w:rPr>
          <w:szCs w:val="28"/>
        </w:rPr>
        <w:t>3</w:t>
      </w:r>
      <w:r w:rsidRPr="00BD290F">
        <w:rPr>
          <w:szCs w:val="28"/>
          <w:lang w:val="vi-VN"/>
        </w:rPr>
        <w:t>. Nguyên tắc, tiêu chí, định mức phân bổ vốn ngân sách nhà nước thực</w:t>
      </w:r>
      <w:r w:rsidRPr="00BD290F">
        <w:rPr>
          <w:szCs w:val="28"/>
        </w:rPr>
        <w:t xml:space="preserve"> </w:t>
      </w:r>
      <w:r w:rsidRPr="00BD290F">
        <w:rPr>
          <w:szCs w:val="28"/>
          <w:lang w:val="vi-VN"/>
        </w:rPr>
        <w:t>hiện Chương trình quy định tại Nghị quyết này áp dụng cho các năm ngân sách giai đoạn 2021 - 2025./.</w:t>
      </w:r>
    </w:p>
    <w:tbl>
      <w:tblPr>
        <w:tblStyle w:val="GenStyleDefTable"/>
        <w:tblW w:w="8931" w:type="dxa"/>
        <w:tblInd w:w="108" w:type="dxa"/>
        <w:tblCellMar>
          <w:left w:w="108" w:type="dxa"/>
          <w:right w:w="108" w:type="dxa"/>
        </w:tblCellMar>
        <w:tblLook w:val="04A0" w:firstRow="1" w:lastRow="0" w:firstColumn="1" w:lastColumn="0" w:noHBand="0" w:noVBand="1"/>
      </w:tblPr>
      <w:tblGrid>
        <w:gridCol w:w="5529"/>
        <w:gridCol w:w="3402"/>
      </w:tblGrid>
      <w:tr w:rsidR="00676034" w:rsidRPr="00BD290F" w14:paraId="29763412" w14:textId="77777777" w:rsidTr="00AC39D1">
        <w:tc>
          <w:tcPr>
            <w:tcW w:w="5529" w:type="dxa"/>
          </w:tcPr>
          <w:p w14:paraId="1F541258" w14:textId="77777777" w:rsidR="00676034" w:rsidRPr="00BD290F" w:rsidRDefault="00676034" w:rsidP="00AC39D1">
            <w:pPr>
              <w:jc w:val="both"/>
              <w:rPr>
                <w:b/>
                <w:i/>
                <w:sz w:val="24"/>
                <w:szCs w:val="24"/>
                <w:lang w:val="vi-VN"/>
              </w:rPr>
            </w:pPr>
          </w:p>
          <w:p w14:paraId="77508019" w14:textId="77777777" w:rsidR="00676034" w:rsidRPr="00BD290F" w:rsidRDefault="00676034" w:rsidP="00AC39D1">
            <w:pPr>
              <w:jc w:val="both"/>
              <w:rPr>
                <w:b/>
                <w:i/>
                <w:sz w:val="24"/>
                <w:szCs w:val="24"/>
                <w:lang w:val="vi-VN"/>
              </w:rPr>
            </w:pPr>
            <w:r w:rsidRPr="00BD290F">
              <w:rPr>
                <w:b/>
                <w:i/>
                <w:sz w:val="24"/>
                <w:szCs w:val="24"/>
                <w:lang w:val="vi-VN"/>
              </w:rPr>
              <w:t xml:space="preserve">Nơi nhận: </w:t>
            </w:r>
          </w:p>
          <w:p w14:paraId="664F3FE2" w14:textId="77777777" w:rsidR="00676034" w:rsidRPr="00BD290F" w:rsidRDefault="00676034" w:rsidP="00AC39D1">
            <w:pPr>
              <w:jc w:val="both"/>
              <w:rPr>
                <w:sz w:val="22"/>
                <w:lang w:val="vi-VN"/>
              </w:rPr>
            </w:pPr>
            <w:r w:rsidRPr="00BD290F">
              <w:rPr>
                <w:sz w:val="22"/>
                <w:lang w:val="vi-VN"/>
              </w:rPr>
              <w:t xml:space="preserve">- Ủy ban Thường vụ Quốc hội; </w:t>
            </w:r>
          </w:p>
          <w:p w14:paraId="0952A43C" w14:textId="77777777" w:rsidR="00676034" w:rsidRPr="00BD290F" w:rsidRDefault="00676034" w:rsidP="00AC39D1">
            <w:pPr>
              <w:jc w:val="both"/>
              <w:rPr>
                <w:sz w:val="22"/>
                <w:lang w:val="vi-VN"/>
              </w:rPr>
            </w:pPr>
            <w:r w:rsidRPr="00BD290F">
              <w:rPr>
                <w:sz w:val="22"/>
                <w:lang w:val="vi-VN"/>
              </w:rPr>
              <w:t>- Văn phòng</w:t>
            </w:r>
            <w:r w:rsidRPr="00BD290F">
              <w:rPr>
                <w:sz w:val="22"/>
              </w:rPr>
              <w:t xml:space="preserve"> </w:t>
            </w:r>
            <w:r w:rsidRPr="00BD290F">
              <w:rPr>
                <w:sz w:val="22"/>
                <w:lang w:val="vi-VN"/>
              </w:rPr>
              <w:t>Quốc hội, Chính phủ;</w:t>
            </w:r>
          </w:p>
          <w:p w14:paraId="42735130" w14:textId="77777777" w:rsidR="00676034" w:rsidRPr="00BD290F" w:rsidRDefault="00676034" w:rsidP="00AC39D1">
            <w:pPr>
              <w:jc w:val="both"/>
              <w:rPr>
                <w:sz w:val="22"/>
                <w:lang w:val="vi-VN"/>
              </w:rPr>
            </w:pPr>
            <w:r w:rsidRPr="00BD290F">
              <w:rPr>
                <w:sz w:val="22"/>
                <w:lang w:val="vi-VN"/>
              </w:rPr>
              <w:t xml:space="preserve">- Các Bộ: Tài chính, Tư pháp, Tài nguyên và Môi trường; </w:t>
            </w:r>
          </w:p>
          <w:p w14:paraId="5CFE6B8A" w14:textId="77777777" w:rsidR="00676034" w:rsidRPr="00BD290F" w:rsidRDefault="00676034" w:rsidP="00AC39D1">
            <w:pPr>
              <w:jc w:val="both"/>
              <w:rPr>
                <w:sz w:val="22"/>
                <w:lang w:val="vi-VN"/>
              </w:rPr>
            </w:pPr>
            <w:r w:rsidRPr="00BD290F">
              <w:rPr>
                <w:sz w:val="22"/>
                <w:lang w:val="vi-VN"/>
              </w:rPr>
              <w:t xml:space="preserve">- </w:t>
            </w:r>
            <w:r w:rsidRPr="00BD290F">
              <w:rPr>
                <w:spacing w:val="-1"/>
                <w:sz w:val="22"/>
                <w:lang w:val="vi-VN"/>
              </w:rPr>
              <w:t>Bộ Dân tộc và Tôn giáo</w:t>
            </w:r>
            <w:r w:rsidRPr="00BD290F">
              <w:rPr>
                <w:sz w:val="22"/>
                <w:lang w:val="vi-VN"/>
              </w:rPr>
              <w:t xml:space="preserve">; </w:t>
            </w:r>
          </w:p>
          <w:p w14:paraId="27706374" w14:textId="77777777" w:rsidR="00676034" w:rsidRPr="00BD290F" w:rsidRDefault="00676034" w:rsidP="00AC39D1">
            <w:pPr>
              <w:jc w:val="both"/>
              <w:rPr>
                <w:sz w:val="22"/>
                <w:lang w:val="vi-VN"/>
              </w:rPr>
            </w:pPr>
            <w:r w:rsidRPr="00BD290F">
              <w:rPr>
                <w:sz w:val="22"/>
                <w:lang w:val="vi-VN"/>
              </w:rPr>
              <w:t xml:space="preserve">- Thường trực Tỉnh ủy, Thường trực HĐND tỉnh; </w:t>
            </w:r>
          </w:p>
          <w:p w14:paraId="1DA41636" w14:textId="77777777" w:rsidR="00676034" w:rsidRPr="00BD290F" w:rsidRDefault="00676034" w:rsidP="00AC39D1">
            <w:pPr>
              <w:jc w:val="both"/>
              <w:rPr>
                <w:sz w:val="22"/>
                <w:lang w:val="vi-VN"/>
              </w:rPr>
            </w:pPr>
            <w:r w:rsidRPr="00BD290F">
              <w:rPr>
                <w:sz w:val="22"/>
                <w:lang w:val="vi-VN"/>
              </w:rPr>
              <w:t xml:space="preserve">- Đoàn Đại biểu Quốc hội tỉnh; </w:t>
            </w:r>
          </w:p>
          <w:p w14:paraId="3AF4CA84" w14:textId="77777777" w:rsidR="00676034" w:rsidRPr="00BD290F" w:rsidRDefault="00676034" w:rsidP="00AC39D1">
            <w:pPr>
              <w:jc w:val="both"/>
              <w:rPr>
                <w:sz w:val="22"/>
                <w:lang w:val="vi-VN"/>
              </w:rPr>
            </w:pPr>
            <w:r w:rsidRPr="00BD290F">
              <w:rPr>
                <w:sz w:val="22"/>
                <w:lang w:val="vi-VN"/>
              </w:rPr>
              <w:t>- Cục Kiểm tra văn bản QPPL - Bộ Tư pháp;</w:t>
            </w:r>
          </w:p>
          <w:p w14:paraId="5C0A0CEF" w14:textId="77777777" w:rsidR="00676034" w:rsidRPr="00BD290F" w:rsidRDefault="00676034" w:rsidP="00AC39D1">
            <w:pPr>
              <w:jc w:val="both"/>
              <w:rPr>
                <w:sz w:val="22"/>
                <w:lang w:val="vi-VN"/>
              </w:rPr>
            </w:pPr>
            <w:r w:rsidRPr="00BD290F">
              <w:rPr>
                <w:sz w:val="22"/>
                <w:lang w:val="vi-VN"/>
              </w:rPr>
              <w:t>- Vụ Pháp chế Bộ Tài chính;</w:t>
            </w:r>
          </w:p>
          <w:p w14:paraId="089F04A5" w14:textId="77777777" w:rsidR="00676034" w:rsidRPr="00BD290F" w:rsidRDefault="00676034" w:rsidP="00AC39D1">
            <w:pPr>
              <w:jc w:val="both"/>
              <w:rPr>
                <w:sz w:val="22"/>
              </w:rPr>
            </w:pPr>
            <w:r w:rsidRPr="00BD290F">
              <w:rPr>
                <w:sz w:val="22"/>
              </w:rPr>
              <w:t xml:space="preserve">- Ủy ban nhân dân tỉnh; </w:t>
            </w:r>
          </w:p>
          <w:p w14:paraId="5781DCEC" w14:textId="77777777" w:rsidR="00676034" w:rsidRPr="00BD290F" w:rsidRDefault="00676034" w:rsidP="00AC39D1">
            <w:pPr>
              <w:jc w:val="both"/>
              <w:rPr>
                <w:sz w:val="22"/>
              </w:rPr>
            </w:pPr>
            <w:r w:rsidRPr="00BD290F">
              <w:rPr>
                <w:sz w:val="22"/>
              </w:rPr>
              <w:t xml:space="preserve">- Các Ban của HĐND tỉnh, Đại biểu HĐND tỉnh; </w:t>
            </w:r>
          </w:p>
          <w:p w14:paraId="2C051F4E" w14:textId="77777777" w:rsidR="00676034" w:rsidRPr="00BD290F" w:rsidRDefault="00676034" w:rsidP="00AC39D1">
            <w:pPr>
              <w:jc w:val="both"/>
              <w:rPr>
                <w:sz w:val="22"/>
              </w:rPr>
            </w:pPr>
            <w:r w:rsidRPr="00BD290F">
              <w:rPr>
                <w:sz w:val="22"/>
              </w:rPr>
              <w:t xml:space="preserve">- Ủy ban MTTQ, các tổ chức chính trị - xã hội tỉnh; </w:t>
            </w:r>
          </w:p>
          <w:p w14:paraId="5B8EB772" w14:textId="77777777" w:rsidR="00676034" w:rsidRPr="00BD290F" w:rsidRDefault="00676034" w:rsidP="00AC39D1">
            <w:pPr>
              <w:jc w:val="both"/>
              <w:rPr>
                <w:sz w:val="22"/>
              </w:rPr>
            </w:pPr>
            <w:r w:rsidRPr="00BD290F">
              <w:rPr>
                <w:sz w:val="22"/>
              </w:rPr>
              <w:t xml:space="preserve">- </w:t>
            </w:r>
            <w:r w:rsidRPr="00BD290F">
              <w:rPr>
                <w:sz w:val="22"/>
                <w:lang w:val="vi-VN"/>
              </w:rPr>
              <w:t>Sở</w:t>
            </w:r>
            <w:r w:rsidRPr="00BD290F">
              <w:rPr>
                <w:sz w:val="22"/>
              </w:rPr>
              <w:t xml:space="preserve"> </w:t>
            </w:r>
            <w:r w:rsidRPr="00BD290F">
              <w:rPr>
                <w:sz w:val="22"/>
                <w:lang w:val="vi-VN"/>
              </w:rPr>
              <w:t>Tư pháp, đăng tải CSLD</w:t>
            </w:r>
            <w:r w:rsidRPr="00BD290F">
              <w:rPr>
                <w:sz w:val="22"/>
              </w:rPr>
              <w:t>;</w:t>
            </w:r>
          </w:p>
          <w:p w14:paraId="0D206E87" w14:textId="77777777" w:rsidR="00676034" w:rsidRPr="00BD290F" w:rsidRDefault="00676034" w:rsidP="00AC39D1">
            <w:pPr>
              <w:jc w:val="both"/>
              <w:rPr>
                <w:sz w:val="22"/>
              </w:rPr>
            </w:pPr>
            <w:r w:rsidRPr="00BD290F">
              <w:rPr>
                <w:sz w:val="22"/>
              </w:rPr>
              <w:t xml:space="preserve">- Các Sở, Ban, Ngành của tỉnh; </w:t>
            </w:r>
          </w:p>
          <w:p w14:paraId="303CE9EA" w14:textId="77777777" w:rsidR="00676034" w:rsidRPr="00BD290F" w:rsidRDefault="00676034" w:rsidP="00AC39D1">
            <w:pPr>
              <w:jc w:val="both"/>
              <w:rPr>
                <w:sz w:val="22"/>
              </w:rPr>
            </w:pPr>
            <w:r w:rsidRPr="00BD290F">
              <w:rPr>
                <w:spacing w:val="-11"/>
                <w:sz w:val="22"/>
              </w:rPr>
              <w:t xml:space="preserve">- </w:t>
            </w:r>
            <w:r w:rsidRPr="00BD290F">
              <w:rPr>
                <w:sz w:val="22"/>
              </w:rPr>
              <w:t>Văn phòng Tỉnh ủy;</w:t>
            </w:r>
          </w:p>
          <w:p w14:paraId="2BE68AAE" w14:textId="77777777" w:rsidR="00676034" w:rsidRPr="00BD290F" w:rsidRDefault="00676034" w:rsidP="00AC39D1">
            <w:pPr>
              <w:jc w:val="both"/>
              <w:rPr>
                <w:sz w:val="22"/>
              </w:rPr>
            </w:pPr>
            <w:r w:rsidRPr="00BD290F">
              <w:rPr>
                <w:sz w:val="22"/>
              </w:rPr>
              <w:t xml:space="preserve">- Văn phòng Đoàn ĐBQH &amp; HĐND tỉnh, </w:t>
            </w:r>
          </w:p>
          <w:p w14:paraId="4662F26D" w14:textId="77777777" w:rsidR="00676034" w:rsidRPr="00BD290F" w:rsidRDefault="00676034" w:rsidP="00AC39D1">
            <w:pPr>
              <w:jc w:val="both"/>
              <w:rPr>
                <w:sz w:val="22"/>
              </w:rPr>
            </w:pPr>
            <w:r w:rsidRPr="00BD290F">
              <w:rPr>
                <w:sz w:val="22"/>
              </w:rPr>
              <w:t xml:space="preserve">- Văn phòng UBND tỉnh; </w:t>
            </w:r>
          </w:p>
          <w:p w14:paraId="5CFB28CC" w14:textId="77777777" w:rsidR="00676034" w:rsidRPr="00BD290F" w:rsidRDefault="00676034" w:rsidP="00AC39D1">
            <w:pPr>
              <w:jc w:val="both"/>
              <w:rPr>
                <w:sz w:val="22"/>
              </w:rPr>
            </w:pPr>
            <w:r w:rsidRPr="00BD290F">
              <w:rPr>
                <w:sz w:val="22"/>
              </w:rPr>
              <w:t xml:space="preserve">- Thường trực HĐND, UBND các xã, phường; </w:t>
            </w:r>
          </w:p>
          <w:p w14:paraId="2A58F4D9" w14:textId="4D7ACCEB" w:rsidR="00676034" w:rsidRPr="00BD290F" w:rsidRDefault="00676034" w:rsidP="00AC39D1">
            <w:pPr>
              <w:jc w:val="both"/>
              <w:rPr>
                <w:sz w:val="22"/>
              </w:rPr>
            </w:pPr>
            <w:r w:rsidRPr="00BD290F">
              <w:rPr>
                <w:sz w:val="22"/>
              </w:rPr>
              <w:t xml:space="preserve">- Báo và Đài Phát thanh </w:t>
            </w:r>
            <w:r w:rsidRPr="00BD290F">
              <w:rPr>
                <w:sz w:val="22"/>
              </w:rPr>
              <w:noBreakHyphen/>
              <w:t xml:space="preserve"> Truyền hình tỉnh;</w:t>
            </w:r>
          </w:p>
          <w:p w14:paraId="31B60166" w14:textId="77777777" w:rsidR="00676034" w:rsidRPr="00BD290F" w:rsidRDefault="00676034" w:rsidP="00AC39D1">
            <w:pPr>
              <w:jc w:val="both"/>
              <w:rPr>
                <w:sz w:val="22"/>
              </w:rPr>
            </w:pPr>
            <w:r w:rsidRPr="00BD290F">
              <w:rPr>
                <w:sz w:val="22"/>
              </w:rPr>
              <w:t xml:space="preserve">- Công báo Tuyên Quang; Cổng thông tin điện tử tỉnh; </w:t>
            </w:r>
          </w:p>
          <w:p w14:paraId="2E60745B" w14:textId="77777777" w:rsidR="00676034" w:rsidRPr="00BD290F" w:rsidRDefault="00676034" w:rsidP="00AC39D1">
            <w:pPr>
              <w:jc w:val="both"/>
              <w:rPr>
                <w:sz w:val="22"/>
              </w:rPr>
            </w:pPr>
            <w:r w:rsidRPr="00BD290F">
              <w:rPr>
                <w:sz w:val="22"/>
              </w:rPr>
              <w:t xml:space="preserve">- Trang thông tin điện tử Hội đồng nhân dân tỉnh; </w:t>
            </w:r>
          </w:p>
          <w:p w14:paraId="455C99C8" w14:textId="77777777" w:rsidR="00676034" w:rsidRPr="00BD290F" w:rsidRDefault="00676034" w:rsidP="00AC39D1">
            <w:pPr>
              <w:jc w:val="both"/>
              <w:rPr>
                <w:b/>
                <w:spacing w:val="-1"/>
                <w:sz w:val="24"/>
                <w:szCs w:val="24"/>
                <w:lang w:val="nl-NL"/>
              </w:rPr>
            </w:pPr>
            <w:r w:rsidRPr="00BD290F">
              <w:rPr>
                <w:sz w:val="22"/>
              </w:rPr>
              <w:t>- Lưu: VT.</w:t>
            </w:r>
          </w:p>
        </w:tc>
        <w:tc>
          <w:tcPr>
            <w:tcW w:w="3402" w:type="dxa"/>
          </w:tcPr>
          <w:p w14:paraId="0C845584" w14:textId="77777777" w:rsidR="00676034" w:rsidRPr="00BD290F" w:rsidRDefault="00676034" w:rsidP="00AC39D1">
            <w:pPr>
              <w:spacing w:before="60" w:line="300" w:lineRule="atLeast"/>
              <w:jc w:val="center"/>
              <w:rPr>
                <w:b/>
                <w:sz w:val="28"/>
                <w:szCs w:val="30"/>
                <w:lang w:val="nl-NL"/>
              </w:rPr>
            </w:pPr>
            <w:r w:rsidRPr="00BD290F">
              <w:rPr>
                <w:b/>
                <w:sz w:val="28"/>
                <w:szCs w:val="30"/>
                <w:lang w:val="nl-NL"/>
              </w:rPr>
              <w:t>CHỦ TỊCH</w:t>
            </w:r>
          </w:p>
          <w:p w14:paraId="4BD163D9" w14:textId="77777777" w:rsidR="00676034" w:rsidRPr="00BD290F" w:rsidRDefault="00676034" w:rsidP="00AC39D1">
            <w:pPr>
              <w:spacing w:before="60" w:line="300" w:lineRule="atLeast"/>
              <w:jc w:val="center"/>
              <w:rPr>
                <w:b/>
                <w:lang w:val="nl-NL"/>
              </w:rPr>
            </w:pPr>
          </w:p>
          <w:p w14:paraId="3AF04CD5" w14:textId="77777777" w:rsidR="00676034" w:rsidRPr="00BD290F" w:rsidRDefault="00676034" w:rsidP="00AC39D1">
            <w:pPr>
              <w:spacing w:before="60" w:line="300" w:lineRule="atLeast"/>
              <w:jc w:val="center"/>
              <w:rPr>
                <w:b/>
                <w:lang w:val="nl-NL"/>
              </w:rPr>
            </w:pPr>
          </w:p>
          <w:p w14:paraId="2FC0486B" w14:textId="77777777" w:rsidR="00676034" w:rsidRPr="00BD290F" w:rsidRDefault="00676034" w:rsidP="00AC39D1">
            <w:pPr>
              <w:spacing w:before="60" w:line="300" w:lineRule="atLeast"/>
              <w:jc w:val="center"/>
              <w:rPr>
                <w:b/>
                <w:lang w:val="nl-NL"/>
              </w:rPr>
            </w:pPr>
          </w:p>
          <w:p w14:paraId="7EA6FDD2" w14:textId="77777777" w:rsidR="00676034" w:rsidRPr="00BD290F" w:rsidRDefault="00676034" w:rsidP="00AC39D1">
            <w:pPr>
              <w:spacing w:before="60" w:line="300" w:lineRule="atLeast"/>
              <w:jc w:val="center"/>
              <w:rPr>
                <w:b/>
                <w:lang w:val="nl-NL"/>
              </w:rPr>
            </w:pPr>
          </w:p>
          <w:p w14:paraId="67645008" w14:textId="77777777" w:rsidR="00676034" w:rsidRPr="00BD290F" w:rsidRDefault="00676034" w:rsidP="00AC39D1">
            <w:pPr>
              <w:spacing w:before="60" w:line="300" w:lineRule="atLeast"/>
              <w:jc w:val="center"/>
              <w:rPr>
                <w:b/>
                <w:lang w:val="nl-NL"/>
              </w:rPr>
            </w:pPr>
          </w:p>
          <w:p w14:paraId="0E5F2EBB" w14:textId="77777777" w:rsidR="00676034" w:rsidRPr="00BD290F" w:rsidRDefault="00676034" w:rsidP="00AC39D1">
            <w:pPr>
              <w:spacing w:before="60" w:line="300" w:lineRule="atLeast"/>
              <w:jc w:val="center"/>
              <w:rPr>
                <w:b/>
                <w:lang w:val="nl-NL"/>
              </w:rPr>
            </w:pPr>
          </w:p>
          <w:p w14:paraId="74907E04" w14:textId="77777777" w:rsidR="00676034" w:rsidRPr="00BD290F" w:rsidRDefault="00676034" w:rsidP="00AC39D1">
            <w:pPr>
              <w:spacing w:before="60" w:line="300" w:lineRule="atLeast"/>
              <w:jc w:val="center"/>
              <w:rPr>
                <w:b/>
                <w:lang w:val="nl-NL"/>
              </w:rPr>
            </w:pPr>
          </w:p>
          <w:p w14:paraId="663F6799" w14:textId="77777777" w:rsidR="00676034" w:rsidRPr="00BD290F" w:rsidRDefault="00676034" w:rsidP="00AC39D1">
            <w:pPr>
              <w:spacing w:before="60" w:line="300" w:lineRule="atLeast"/>
              <w:jc w:val="center"/>
              <w:rPr>
                <w:b/>
                <w:spacing w:val="-1"/>
                <w:szCs w:val="28"/>
                <w:lang w:val="nl-NL"/>
              </w:rPr>
            </w:pPr>
          </w:p>
        </w:tc>
      </w:tr>
      <w:bookmarkEnd w:id="2"/>
    </w:tbl>
    <w:p w14:paraId="79793547" w14:textId="77777777" w:rsidR="00676034" w:rsidRPr="00BD290F" w:rsidRDefault="00676034" w:rsidP="00676034">
      <w:pPr>
        <w:widowControl w:val="0"/>
        <w:pBdr>
          <w:bottom w:val="none" w:sz="4" w:space="20" w:color="000000"/>
        </w:pBdr>
        <w:spacing w:before="120" w:line="320" w:lineRule="atLeast"/>
        <w:ind w:firstLine="720"/>
        <w:jc w:val="both"/>
        <w:rPr>
          <w:szCs w:val="28"/>
          <w:lang w:val="vi-VN"/>
        </w:rPr>
      </w:pPr>
    </w:p>
    <w:sectPr w:rsidR="00676034" w:rsidRPr="00BD290F" w:rsidSect="00737B75">
      <w:headerReference w:type="default" r:id="rId9"/>
      <w:pgSz w:w="11907" w:h="16840" w:code="9"/>
      <w:pgMar w:top="1021" w:right="1134" w:bottom="1021"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3EEC" w14:textId="77777777" w:rsidR="00186EAB" w:rsidRDefault="00186EAB" w:rsidP="00343575">
      <w:pPr>
        <w:spacing w:after="0" w:line="240" w:lineRule="auto"/>
      </w:pPr>
      <w:r>
        <w:separator/>
      </w:r>
    </w:p>
  </w:endnote>
  <w:endnote w:type="continuationSeparator" w:id="0">
    <w:p w14:paraId="6605F84D" w14:textId="77777777" w:rsidR="00186EAB" w:rsidRDefault="00186EAB" w:rsidP="0034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1BC3" w14:textId="77777777" w:rsidR="00186EAB" w:rsidRDefault="00186EAB" w:rsidP="00343575">
      <w:pPr>
        <w:spacing w:after="0" w:line="240" w:lineRule="auto"/>
      </w:pPr>
      <w:r>
        <w:separator/>
      </w:r>
    </w:p>
  </w:footnote>
  <w:footnote w:type="continuationSeparator" w:id="0">
    <w:p w14:paraId="6DCE7892" w14:textId="77777777" w:rsidR="00186EAB" w:rsidRDefault="00186EAB" w:rsidP="00343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290029"/>
      <w:docPartObj>
        <w:docPartGallery w:val="Page Numbers (Top of Page)"/>
        <w:docPartUnique/>
      </w:docPartObj>
    </w:sdtPr>
    <w:sdtEndPr>
      <w:rPr>
        <w:noProof/>
      </w:rPr>
    </w:sdtEndPr>
    <w:sdtContent>
      <w:p w14:paraId="04C53AE5" w14:textId="77777777" w:rsidR="0066545E" w:rsidRDefault="0066545E">
        <w:pPr>
          <w:pStyle w:val="Header"/>
          <w:jc w:val="center"/>
        </w:pPr>
        <w:r>
          <w:fldChar w:fldCharType="begin"/>
        </w:r>
        <w:r>
          <w:instrText xml:space="preserve"> PAGE   \* MERGEFORMAT </w:instrText>
        </w:r>
        <w:r>
          <w:fldChar w:fldCharType="separate"/>
        </w:r>
        <w:r w:rsidR="00785DB6">
          <w:rPr>
            <w:noProof/>
          </w:rPr>
          <w:t>7</w:t>
        </w:r>
        <w:r>
          <w:rPr>
            <w:noProof/>
          </w:rPr>
          <w:fldChar w:fldCharType="end"/>
        </w:r>
      </w:p>
    </w:sdtContent>
  </w:sdt>
  <w:p w14:paraId="1D7124AE" w14:textId="77777777" w:rsidR="0066545E" w:rsidRDefault="00665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7471E"/>
    <w:multiLevelType w:val="multilevel"/>
    <w:tmpl w:val="0A3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E6E08"/>
    <w:multiLevelType w:val="multilevel"/>
    <w:tmpl w:val="CEBE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EE1709"/>
    <w:multiLevelType w:val="multilevel"/>
    <w:tmpl w:val="DFBA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5317C"/>
    <w:multiLevelType w:val="multilevel"/>
    <w:tmpl w:val="24FC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22018"/>
    <w:multiLevelType w:val="multilevel"/>
    <w:tmpl w:val="F996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E220D4"/>
    <w:multiLevelType w:val="multilevel"/>
    <w:tmpl w:val="5938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B94A04"/>
    <w:multiLevelType w:val="multilevel"/>
    <w:tmpl w:val="A274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D7E65"/>
    <w:multiLevelType w:val="multilevel"/>
    <w:tmpl w:val="8298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637CE"/>
    <w:multiLevelType w:val="multilevel"/>
    <w:tmpl w:val="2DFC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BD2052"/>
    <w:multiLevelType w:val="multilevel"/>
    <w:tmpl w:val="3AC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144294">
    <w:abstractNumId w:val="5"/>
  </w:num>
  <w:num w:numId="2" w16cid:durableId="728962415">
    <w:abstractNumId w:val="4"/>
  </w:num>
  <w:num w:numId="3" w16cid:durableId="904490614">
    <w:abstractNumId w:val="8"/>
  </w:num>
  <w:num w:numId="4" w16cid:durableId="371661879">
    <w:abstractNumId w:val="1"/>
  </w:num>
  <w:num w:numId="5" w16cid:durableId="1477919029">
    <w:abstractNumId w:val="3"/>
  </w:num>
  <w:num w:numId="6" w16cid:durableId="1545485251">
    <w:abstractNumId w:val="0"/>
  </w:num>
  <w:num w:numId="7" w16cid:durableId="571933391">
    <w:abstractNumId w:val="6"/>
  </w:num>
  <w:num w:numId="8" w16cid:durableId="1744334737">
    <w:abstractNumId w:val="2"/>
  </w:num>
  <w:num w:numId="9" w16cid:durableId="1373187460">
    <w:abstractNumId w:val="7"/>
  </w:num>
  <w:num w:numId="10" w16cid:durableId="9985839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595"/>
    <w:rsid w:val="000060FD"/>
    <w:rsid w:val="00015C88"/>
    <w:rsid w:val="00043315"/>
    <w:rsid w:val="000439BF"/>
    <w:rsid w:val="00047067"/>
    <w:rsid w:val="00052D90"/>
    <w:rsid w:val="00055B06"/>
    <w:rsid w:val="0006703F"/>
    <w:rsid w:val="0006788C"/>
    <w:rsid w:val="0009192E"/>
    <w:rsid w:val="00093EA9"/>
    <w:rsid w:val="000A11E5"/>
    <w:rsid w:val="000B2960"/>
    <w:rsid w:val="000B57BD"/>
    <w:rsid w:val="000C49BB"/>
    <w:rsid w:val="000D43DB"/>
    <w:rsid w:val="000D462F"/>
    <w:rsid w:val="000D5340"/>
    <w:rsid w:val="000F13DB"/>
    <w:rsid w:val="0010032D"/>
    <w:rsid w:val="0011087C"/>
    <w:rsid w:val="00111D62"/>
    <w:rsid w:val="001143C5"/>
    <w:rsid w:val="001154A5"/>
    <w:rsid w:val="0012003C"/>
    <w:rsid w:val="00147DD2"/>
    <w:rsid w:val="00165D4D"/>
    <w:rsid w:val="00186EAB"/>
    <w:rsid w:val="001B5E0B"/>
    <w:rsid w:val="001E1220"/>
    <w:rsid w:val="001E2B1E"/>
    <w:rsid w:val="001E36D8"/>
    <w:rsid w:val="001F1B5B"/>
    <w:rsid w:val="002126F3"/>
    <w:rsid w:val="00212CF9"/>
    <w:rsid w:val="002238EA"/>
    <w:rsid w:val="00265722"/>
    <w:rsid w:val="002706D3"/>
    <w:rsid w:val="0028494D"/>
    <w:rsid w:val="00291E60"/>
    <w:rsid w:val="0029614B"/>
    <w:rsid w:val="002973DC"/>
    <w:rsid w:val="002A1280"/>
    <w:rsid w:val="002C56B4"/>
    <w:rsid w:val="002D049D"/>
    <w:rsid w:val="002E0EBA"/>
    <w:rsid w:val="002F1DF7"/>
    <w:rsid w:val="002F476E"/>
    <w:rsid w:val="002F7104"/>
    <w:rsid w:val="002F7EE6"/>
    <w:rsid w:val="00302C55"/>
    <w:rsid w:val="00314A70"/>
    <w:rsid w:val="00326932"/>
    <w:rsid w:val="00343575"/>
    <w:rsid w:val="00344BEF"/>
    <w:rsid w:val="00377F17"/>
    <w:rsid w:val="00386844"/>
    <w:rsid w:val="003A71CF"/>
    <w:rsid w:val="00403A96"/>
    <w:rsid w:val="00404881"/>
    <w:rsid w:val="00416006"/>
    <w:rsid w:val="004365EE"/>
    <w:rsid w:val="0044377A"/>
    <w:rsid w:val="004546FF"/>
    <w:rsid w:val="00455D63"/>
    <w:rsid w:val="0047283D"/>
    <w:rsid w:val="00482692"/>
    <w:rsid w:val="00491977"/>
    <w:rsid w:val="00492658"/>
    <w:rsid w:val="004A4266"/>
    <w:rsid w:val="004A7A0A"/>
    <w:rsid w:val="004D7952"/>
    <w:rsid w:val="004E50FE"/>
    <w:rsid w:val="004F129A"/>
    <w:rsid w:val="00503DDA"/>
    <w:rsid w:val="00504C29"/>
    <w:rsid w:val="00512A3F"/>
    <w:rsid w:val="005231A5"/>
    <w:rsid w:val="00545F8E"/>
    <w:rsid w:val="0054660A"/>
    <w:rsid w:val="00551F09"/>
    <w:rsid w:val="005545F2"/>
    <w:rsid w:val="005569DB"/>
    <w:rsid w:val="005658EC"/>
    <w:rsid w:val="00571D5F"/>
    <w:rsid w:val="00576481"/>
    <w:rsid w:val="00583C66"/>
    <w:rsid w:val="0059715F"/>
    <w:rsid w:val="00597732"/>
    <w:rsid w:val="005A3F1A"/>
    <w:rsid w:val="005B2FFE"/>
    <w:rsid w:val="005B7F07"/>
    <w:rsid w:val="005C3734"/>
    <w:rsid w:val="005E1B5B"/>
    <w:rsid w:val="005F0BF7"/>
    <w:rsid w:val="00611438"/>
    <w:rsid w:val="006140A1"/>
    <w:rsid w:val="006258DB"/>
    <w:rsid w:val="0063265A"/>
    <w:rsid w:val="00632802"/>
    <w:rsid w:val="006355D4"/>
    <w:rsid w:val="0064770F"/>
    <w:rsid w:val="0066545E"/>
    <w:rsid w:val="00676034"/>
    <w:rsid w:val="00681E4B"/>
    <w:rsid w:val="006A0797"/>
    <w:rsid w:val="006A0B5E"/>
    <w:rsid w:val="006A32B9"/>
    <w:rsid w:val="006B396D"/>
    <w:rsid w:val="006B6D68"/>
    <w:rsid w:val="006C66E9"/>
    <w:rsid w:val="0070498D"/>
    <w:rsid w:val="00715D56"/>
    <w:rsid w:val="007240EE"/>
    <w:rsid w:val="00737226"/>
    <w:rsid w:val="00737B75"/>
    <w:rsid w:val="00754E64"/>
    <w:rsid w:val="00756415"/>
    <w:rsid w:val="00776B4E"/>
    <w:rsid w:val="007857BF"/>
    <w:rsid w:val="00785DB6"/>
    <w:rsid w:val="0078660C"/>
    <w:rsid w:val="00786D49"/>
    <w:rsid w:val="0079091F"/>
    <w:rsid w:val="007B01C1"/>
    <w:rsid w:val="007C3DD4"/>
    <w:rsid w:val="007F0F23"/>
    <w:rsid w:val="00830D9E"/>
    <w:rsid w:val="008453D2"/>
    <w:rsid w:val="00845501"/>
    <w:rsid w:val="00854812"/>
    <w:rsid w:val="00857F9B"/>
    <w:rsid w:val="008636E7"/>
    <w:rsid w:val="00866895"/>
    <w:rsid w:val="008823BD"/>
    <w:rsid w:val="008A0812"/>
    <w:rsid w:val="008A4E25"/>
    <w:rsid w:val="008B6A31"/>
    <w:rsid w:val="008B7165"/>
    <w:rsid w:val="008D2845"/>
    <w:rsid w:val="008E0A54"/>
    <w:rsid w:val="008E1099"/>
    <w:rsid w:val="008F53BF"/>
    <w:rsid w:val="008F70D6"/>
    <w:rsid w:val="00903D77"/>
    <w:rsid w:val="00912535"/>
    <w:rsid w:val="00922BC5"/>
    <w:rsid w:val="00935A61"/>
    <w:rsid w:val="009561A1"/>
    <w:rsid w:val="0095751D"/>
    <w:rsid w:val="009660D2"/>
    <w:rsid w:val="0097513A"/>
    <w:rsid w:val="00990D76"/>
    <w:rsid w:val="009B0A43"/>
    <w:rsid w:val="009E194B"/>
    <w:rsid w:val="009E5C62"/>
    <w:rsid w:val="00A16547"/>
    <w:rsid w:val="00A4793C"/>
    <w:rsid w:val="00A57B6C"/>
    <w:rsid w:val="00A86138"/>
    <w:rsid w:val="00A90BA6"/>
    <w:rsid w:val="00AA5CB2"/>
    <w:rsid w:val="00AB1595"/>
    <w:rsid w:val="00AE20D8"/>
    <w:rsid w:val="00AF1ECB"/>
    <w:rsid w:val="00B14920"/>
    <w:rsid w:val="00B15EBE"/>
    <w:rsid w:val="00B2026B"/>
    <w:rsid w:val="00B541FB"/>
    <w:rsid w:val="00B54451"/>
    <w:rsid w:val="00B622A2"/>
    <w:rsid w:val="00BB1808"/>
    <w:rsid w:val="00BD0735"/>
    <w:rsid w:val="00BD0CC7"/>
    <w:rsid w:val="00BD290F"/>
    <w:rsid w:val="00BE0DFC"/>
    <w:rsid w:val="00BE275D"/>
    <w:rsid w:val="00C0444B"/>
    <w:rsid w:val="00C30BC3"/>
    <w:rsid w:val="00C60D2C"/>
    <w:rsid w:val="00C80F10"/>
    <w:rsid w:val="00C91246"/>
    <w:rsid w:val="00CD5BBD"/>
    <w:rsid w:val="00CD6BD7"/>
    <w:rsid w:val="00CE0CBC"/>
    <w:rsid w:val="00CE5C89"/>
    <w:rsid w:val="00CF2164"/>
    <w:rsid w:val="00CF38C6"/>
    <w:rsid w:val="00CF3931"/>
    <w:rsid w:val="00D00821"/>
    <w:rsid w:val="00D06229"/>
    <w:rsid w:val="00D27C36"/>
    <w:rsid w:val="00D34EF4"/>
    <w:rsid w:val="00D34FBB"/>
    <w:rsid w:val="00D40398"/>
    <w:rsid w:val="00D41826"/>
    <w:rsid w:val="00D424AF"/>
    <w:rsid w:val="00D5614C"/>
    <w:rsid w:val="00D62B52"/>
    <w:rsid w:val="00D7324B"/>
    <w:rsid w:val="00D74EFC"/>
    <w:rsid w:val="00D9344B"/>
    <w:rsid w:val="00DA04F4"/>
    <w:rsid w:val="00DA696A"/>
    <w:rsid w:val="00DC166B"/>
    <w:rsid w:val="00DE1616"/>
    <w:rsid w:val="00E17135"/>
    <w:rsid w:val="00E20594"/>
    <w:rsid w:val="00EA5A8E"/>
    <w:rsid w:val="00EA7D25"/>
    <w:rsid w:val="00EB27E8"/>
    <w:rsid w:val="00EC0DDC"/>
    <w:rsid w:val="00EC76DC"/>
    <w:rsid w:val="00ED68B4"/>
    <w:rsid w:val="00EF00E1"/>
    <w:rsid w:val="00F13DCA"/>
    <w:rsid w:val="00F172DA"/>
    <w:rsid w:val="00F21D93"/>
    <w:rsid w:val="00F74743"/>
    <w:rsid w:val="00F97DB1"/>
    <w:rsid w:val="00FC14FE"/>
    <w:rsid w:val="00FC3164"/>
    <w:rsid w:val="00FC6F0C"/>
    <w:rsid w:val="00FD1484"/>
    <w:rsid w:val="00FE396C"/>
    <w:rsid w:val="00FE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EF4E"/>
  <w15:chartTrackingRefBased/>
  <w15:docId w15:val="{B05B6CBE-61E6-4AD0-8DB1-B2496666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E64"/>
    <w:rPr>
      <w:color w:val="808080"/>
    </w:rPr>
  </w:style>
  <w:style w:type="paragraph" w:styleId="NormalWeb">
    <w:name w:val="Normal (Web)"/>
    <w:basedOn w:val="Normal"/>
    <w:uiPriority w:val="99"/>
    <w:semiHidden/>
    <w:unhideWhenUsed/>
    <w:rsid w:val="000439BF"/>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343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575"/>
  </w:style>
  <w:style w:type="paragraph" w:styleId="Footer">
    <w:name w:val="footer"/>
    <w:basedOn w:val="Normal"/>
    <w:link w:val="FooterChar"/>
    <w:uiPriority w:val="99"/>
    <w:unhideWhenUsed/>
    <w:rsid w:val="00343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575"/>
  </w:style>
  <w:style w:type="table" w:styleId="TableGrid">
    <w:name w:val="Table Grid"/>
    <w:basedOn w:val="TableNormal"/>
    <w:uiPriority w:val="39"/>
    <w:rsid w:val="00D6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locked/>
    <w:rsid w:val="00A86138"/>
    <w:rPr>
      <w:rFonts w:ascii="VNI-Times" w:hAnsi="VNI-Times" w:cs="VNI-Times"/>
      <w:szCs w:val="28"/>
    </w:rPr>
  </w:style>
  <w:style w:type="paragraph" w:styleId="BodyText">
    <w:name w:val="Body Text"/>
    <w:basedOn w:val="Normal"/>
    <w:link w:val="BodyTextChar"/>
    <w:rsid w:val="00A86138"/>
    <w:pPr>
      <w:widowControl w:val="0"/>
      <w:tabs>
        <w:tab w:val="right" w:pos="9184"/>
      </w:tabs>
      <w:autoSpaceDE w:val="0"/>
      <w:autoSpaceDN w:val="0"/>
      <w:adjustRightInd w:val="0"/>
      <w:spacing w:after="0" w:line="369" w:lineRule="atLeast"/>
      <w:ind w:firstLine="567"/>
      <w:jc w:val="both"/>
    </w:pPr>
    <w:rPr>
      <w:rFonts w:ascii="VNI-Times" w:hAnsi="VNI-Times" w:cs="VNI-Times"/>
      <w:szCs w:val="28"/>
    </w:rPr>
  </w:style>
  <w:style w:type="character" w:customStyle="1" w:styleId="BodyTextChar1">
    <w:name w:val="Body Text Char1"/>
    <w:basedOn w:val="DefaultParagraphFont"/>
    <w:uiPriority w:val="99"/>
    <w:semiHidden/>
    <w:rsid w:val="00A86138"/>
  </w:style>
  <w:style w:type="table" w:customStyle="1" w:styleId="GenStyleDefTable">
    <w:name w:val="GenStyleDefTable"/>
    <w:rsid w:val="0067603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sz w:val="20"/>
      <w:szCs w:val="22"/>
      <w:lang w:bidi="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5537">
      <w:bodyDiv w:val="1"/>
      <w:marLeft w:val="0"/>
      <w:marRight w:val="0"/>
      <w:marTop w:val="0"/>
      <w:marBottom w:val="0"/>
      <w:divBdr>
        <w:top w:val="none" w:sz="0" w:space="0" w:color="auto"/>
        <w:left w:val="none" w:sz="0" w:space="0" w:color="auto"/>
        <w:bottom w:val="none" w:sz="0" w:space="0" w:color="auto"/>
        <w:right w:val="none" w:sz="0" w:space="0" w:color="auto"/>
      </w:divBdr>
    </w:div>
    <w:div w:id="394820641">
      <w:bodyDiv w:val="1"/>
      <w:marLeft w:val="0"/>
      <w:marRight w:val="0"/>
      <w:marTop w:val="0"/>
      <w:marBottom w:val="0"/>
      <w:divBdr>
        <w:top w:val="none" w:sz="0" w:space="0" w:color="auto"/>
        <w:left w:val="none" w:sz="0" w:space="0" w:color="auto"/>
        <w:bottom w:val="none" w:sz="0" w:space="0" w:color="auto"/>
        <w:right w:val="none" w:sz="0" w:space="0" w:color="auto"/>
      </w:divBdr>
    </w:div>
    <w:div w:id="469442285">
      <w:bodyDiv w:val="1"/>
      <w:marLeft w:val="0"/>
      <w:marRight w:val="0"/>
      <w:marTop w:val="0"/>
      <w:marBottom w:val="0"/>
      <w:divBdr>
        <w:top w:val="none" w:sz="0" w:space="0" w:color="auto"/>
        <w:left w:val="none" w:sz="0" w:space="0" w:color="auto"/>
        <w:bottom w:val="none" w:sz="0" w:space="0" w:color="auto"/>
        <w:right w:val="none" w:sz="0" w:space="0" w:color="auto"/>
      </w:divBdr>
    </w:div>
    <w:div w:id="637730977">
      <w:bodyDiv w:val="1"/>
      <w:marLeft w:val="0"/>
      <w:marRight w:val="0"/>
      <w:marTop w:val="0"/>
      <w:marBottom w:val="0"/>
      <w:divBdr>
        <w:top w:val="none" w:sz="0" w:space="0" w:color="auto"/>
        <w:left w:val="none" w:sz="0" w:space="0" w:color="auto"/>
        <w:bottom w:val="none" w:sz="0" w:space="0" w:color="auto"/>
        <w:right w:val="none" w:sz="0" w:space="0" w:color="auto"/>
      </w:divBdr>
    </w:div>
    <w:div w:id="883757999">
      <w:bodyDiv w:val="1"/>
      <w:marLeft w:val="0"/>
      <w:marRight w:val="0"/>
      <w:marTop w:val="0"/>
      <w:marBottom w:val="0"/>
      <w:divBdr>
        <w:top w:val="none" w:sz="0" w:space="0" w:color="auto"/>
        <w:left w:val="none" w:sz="0" w:space="0" w:color="auto"/>
        <w:bottom w:val="none" w:sz="0" w:space="0" w:color="auto"/>
        <w:right w:val="none" w:sz="0" w:space="0" w:color="auto"/>
      </w:divBdr>
    </w:div>
    <w:div w:id="1141925498">
      <w:bodyDiv w:val="1"/>
      <w:marLeft w:val="0"/>
      <w:marRight w:val="0"/>
      <w:marTop w:val="0"/>
      <w:marBottom w:val="0"/>
      <w:divBdr>
        <w:top w:val="none" w:sz="0" w:space="0" w:color="auto"/>
        <w:left w:val="none" w:sz="0" w:space="0" w:color="auto"/>
        <w:bottom w:val="none" w:sz="0" w:space="0" w:color="auto"/>
        <w:right w:val="none" w:sz="0" w:space="0" w:color="auto"/>
      </w:divBdr>
    </w:div>
    <w:div w:id="1611162769">
      <w:bodyDiv w:val="1"/>
      <w:marLeft w:val="0"/>
      <w:marRight w:val="0"/>
      <w:marTop w:val="0"/>
      <w:marBottom w:val="0"/>
      <w:divBdr>
        <w:top w:val="none" w:sz="0" w:space="0" w:color="auto"/>
        <w:left w:val="none" w:sz="0" w:space="0" w:color="auto"/>
        <w:bottom w:val="none" w:sz="0" w:space="0" w:color="auto"/>
        <w:right w:val="none" w:sz="0" w:space="0" w:color="auto"/>
      </w:divBdr>
    </w:div>
    <w:div w:id="203634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quyet-dinh-02-2022-qd-ttg-ty-le-von-doi-ung-cua-ngan-sach-dia-phuong-giam-ngheo-ben-vung-500995.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07DEE-E533-46B8-82F5-1391A83A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8</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STC Hoang Quang Hung</dc:creator>
  <cp:keywords/>
  <dc:description/>
  <cp:lastModifiedBy>DINH</cp:lastModifiedBy>
  <cp:revision>34</cp:revision>
  <dcterms:created xsi:type="dcterms:W3CDTF">2025-08-10T09:57:00Z</dcterms:created>
  <dcterms:modified xsi:type="dcterms:W3CDTF">2025-09-23T03:34:00Z</dcterms:modified>
</cp:coreProperties>
</file>